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70934">
      <w:pPr>
        <w:pStyle w:val="2"/>
        <w:numPr>
          <w:ilvl w:val="0"/>
          <w:numId w:val="0"/>
        </w:numPr>
        <w:ind w:left="420" w:leftChars="0" w:hanging="420" w:firstLineChars="0"/>
        <w:rPr>
          <w:color w:val="FF0000"/>
        </w:rPr>
      </w:pPr>
      <w:r>
        <w:rPr>
          <w:rFonts w:hint="eastAsia"/>
        </w:rPr>
        <w:t>项目</w:t>
      </w:r>
      <w:bookmarkStart w:id="7" w:name="_GoBack"/>
      <w:bookmarkEnd w:id="7"/>
      <w:r>
        <w:rPr>
          <w:rFonts w:hint="eastAsia"/>
        </w:rPr>
        <w:t>采购需求</w:t>
      </w:r>
    </w:p>
    <w:p w14:paraId="75B61346">
      <w:pPr>
        <w:rPr>
          <w:rFonts w:hint="eastAsia"/>
          <w:b/>
          <w:bCs/>
        </w:rPr>
      </w:pPr>
      <w:r>
        <w:rPr>
          <w:rFonts w:hint="eastAsia"/>
          <w:b/>
          <w:bCs/>
        </w:rPr>
        <w:t>说明：</w:t>
      </w:r>
    </w:p>
    <w:p w14:paraId="6883F692">
      <w:pPr>
        <w:rPr>
          <w:rFonts w:hint="eastAsia"/>
        </w:rPr>
      </w:pPr>
      <w:r>
        <w:rPr>
          <w:rFonts w:hint="eastAsia"/>
        </w:rPr>
        <w:t>1.标注“▲”符号的为必须做出实质性响应、不允许负偏离的条款；</w:t>
      </w:r>
    </w:p>
    <w:p w14:paraId="08D47B64">
      <w:pPr>
        <w:rPr>
          <w:rFonts w:hint="eastAsia"/>
        </w:rPr>
      </w:pPr>
      <w:r>
        <w:rPr>
          <w:rFonts w:hint="eastAsia"/>
        </w:rPr>
        <w:t>2.标注“△”符号的为纳入“评审因素”的条款；</w:t>
      </w:r>
    </w:p>
    <w:p w14:paraId="1CEB1047">
      <w:r>
        <w:rPr>
          <w:rFonts w:hint="eastAsia"/>
        </w:rPr>
        <w:t>3.未标注符号的为一般告知性条款，仅供</w:t>
      </w:r>
      <w:r>
        <w:rPr>
          <w:rFonts w:hint="eastAsia"/>
          <w:lang w:eastAsia="zh-CN"/>
        </w:rPr>
        <w:t>供应商</w:t>
      </w:r>
      <w:r>
        <w:rPr>
          <w:rFonts w:hint="eastAsia"/>
        </w:rPr>
        <w:t>投标参考，与项目评审活动无关，</w:t>
      </w:r>
      <w:r>
        <w:rPr>
          <w:rFonts w:hint="eastAsia"/>
          <w:lang w:eastAsia="zh-CN"/>
        </w:rPr>
        <w:t>供应商</w:t>
      </w:r>
      <w:r>
        <w:rPr>
          <w:rFonts w:hint="eastAsia"/>
        </w:rPr>
        <w:t>在制作响应文件时可不作专门响应。</w:t>
      </w:r>
    </w:p>
    <w:p w14:paraId="6954B3ED">
      <w:pPr>
        <w:pStyle w:val="3"/>
        <w:pageBreakBefore w:val="0"/>
        <w:widowControl w:val="0"/>
        <w:numPr>
          <w:ilvl w:val="0"/>
          <w:numId w:val="0"/>
        </w:numPr>
        <w:kinsoku/>
        <w:overflowPunct/>
        <w:topLinePunct w:val="0"/>
        <w:autoSpaceDE/>
        <w:autoSpaceDN/>
        <w:bidi w:val="0"/>
        <w:adjustRightInd/>
        <w:snapToGrid/>
        <w:spacing w:before="0" w:after="0"/>
        <w:ind w:left="420" w:leftChars="0" w:hanging="420" w:firstLineChars="0"/>
        <w:textAlignment w:val="auto"/>
        <w:rPr>
          <w:rFonts w:hint="eastAsia" w:ascii="宋体" w:hAnsi="宋体" w:eastAsia="宋体" w:cs="宋体"/>
          <w:sz w:val="24"/>
          <w:szCs w:val="24"/>
          <w:lang w:val="en-US" w:eastAsia="zh-CN"/>
        </w:rPr>
      </w:pPr>
      <w:bookmarkStart w:id="0" w:name="_Toc156490321"/>
      <w:bookmarkStart w:id="1" w:name="_Toc28918"/>
      <w:r>
        <w:rPr>
          <w:rFonts w:hint="eastAsia" w:ascii="宋体" w:hAnsi="宋体" w:eastAsia="宋体" w:cs="宋体"/>
          <w:b/>
          <w:bCs/>
          <w:kern w:val="2"/>
          <w:sz w:val="24"/>
          <w:szCs w:val="24"/>
          <w:lang w:val="en-US" w:eastAsia="zh-CN" w:bidi="ar-SA"/>
        </w:rPr>
        <w:t>一、</w:t>
      </w:r>
      <w:r>
        <w:rPr>
          <w:rFonts w:hint="eastAsia" w:ascii="宋体" w:hAnsi="宋体" w:eastAsia="宋体" w:cs="宋体"/>
          <w:sz w:val="24"/>
          <w:szCs w:val="24"/>
        </w:rPr>
        <w:t>采购</w:t>
      </w:r>
      <w:bookmarkEnd w:id="0"/>
      <w:bookmarkEnd w:id="1"/>
      <w:r>
        <w:rPr>
          <w:rFonts w:hint="eastAsia" w:ascii="宋体" w:hAnsi="宋体" w:cs="宋体"/>
          <w:sz w:val="24"/>
          <w:szCs w:val="24"/>
          <w:lang w:val="en-US" w:eastAsia="zh-CN"/>
        </w:rPr>
        <w:t>内容</w:t>
      </w:r>
    </w:p>
    <w:tbl>
      <w:tblPr>
        <w:tblStyle w:val="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971"/>
        <w:gridCol w:w="1845"/>
        <w:gridCol w:w="1269"/>
        <w:gridCol w:w="1499"/>
        <w:gridCol w:w="945"/>
      </w:tblGrid>
      <w:tr w14:paraId="78E6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13" w:type="dxa"/>
            <w:vAlign w:val="center"/>
          </w:tcPr>
          <w:p w14:paraId="1587340C">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971" w:type="dxa"/>
            <w:vAlign w:val="center"/>
          </w:tcPr>
          <w:p w14:paraId="1CA9D97E">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采购标的名称</w:t>
            </w:r>
          </w:p>
        </w:tc>
        <w:tc>
          <w:tcPr>
            <w:tcW w:w="1845" w:type="dxa"/>
            <w:vAlign w:val="center"/>
          </w:tcPr>
          <w:p w14:paraId="7E268D49">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cs="宋体"/>
                <w:b/>
                <w:bCs/>
                <w:sz w:val="24"/>
                <w:szCs w:val="24"/>
                <w:lang w:val="en-US" w:eastAsia="zh-CN"/>
              </w:rPr>
              <w:t>项目</w:t>
            </w:r>
            <w:r>
              <w:rPr>
                <w:rFonts w:hint="eastAsia" w:ascii="宋体" w:hAnsi="宋体" w:eastAsia="宋体" w:cs="宋体"/>
                <w:b/>
                <w:bCs/>
                <w:sz w:val="24"/>
                <w:szCs w:val="24"/>
              </w:rPr>
              <w:t>最高限价</w:t>
            </w:r>
          </w:p>
          <w:p w14:paraId="62D26BA2">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（万元）</w:t>
            </w:r>
          </w:p>
        </w:tc>
        <w:tc>
          <w:tcPr>
            <w:tcW w:w="1269" w:type="dxa"/>
            <w:vAlign w:val="center"/>
          </w:tcPr>
          <w:p w14:paraId="377122B9">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所属行业</w:t>
            </w:r>
          </w:p>
        </w:tc>
        <w:tc>
          <w:tcPr>
            <w:tcW w:w="1499" w:type="dxa"/>
            <w:vAlign w:val="center"/>
          </w:tcPr>
          <w:p w14:paraId="7F1C7EFF">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要求/备注</w:t>
            </w:r>
          </w:p>
        </w:tc>
        <w:tc>
          <w:tcPr>
            <w:tcW w:w="945" w:type="dxa"/>
            <w:vAlign w:val="center"/>
          </w:tcPr>
          <w:p w14:paraId="5D24A26B">
            <w:pPr>
              <w:pStyle w:val="7"/>
              <w:pageBreakBefore w:val="0"/>
              <w:widowControl w:val="0"/>
              <w:kinsoku/>
              <w:overflowPunct/>
              <w:topLinePunct w:val="0"/>
              <w:autoSpaceDE/>
              <w:autoSpaceDN/>
              <w:bidi w:val="0"/>
              <w:adjustRightInd/>
              <w:snapToGrid/>
              <w:jc w:val="center"/>
              <w:textAlignment w:val="auto"/>
              <w:rPr>
                <w:rFonts w:hint="eastAsia" w:cs="宋体"/>
                <w:b/>
                <w:bCs/>
                <w:sz w:val="24"/>
                <w:szCs w:val="24"/>
                <w:lang w:val="en-US" w:eastAsia="zh-CN"/>
              </w:rPr>
            </w:pPr>
            <w:r>
              <w:rPr>
                <w:rFonts w:hint="eastAsia" w:cs="宋体"/>
                <w:b/>
                <w:bCs/>
                <w:sz w:val="24"/>
                <w:szCs w:val="24"/>
                <w:lang w:val="en-US" w:eastAsia="zh-CN"/>
              </w:rPr>
              <w:t>条款</w:t>
            </w:r>
          </w:p>
          <w:p w14:paraId="73A91460">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b/>
                <w:bCs/>
                <w:sz w:val="24"/>
                <w:szCs w:val="24"/>
                <w:lang w:val="en-US" w:eastAsia="zh-CN"/>
              </w:rPr>
            </w:pPr>
            <w:r>
              <w:rPr>
                <w:rFonts w:hint="eastAsia" w:cs="宋体"/>
                <w:b/>
                <w:bCs/>
                <w:sz w:val="24"/>
                <w:szCs w:val="24"/>
                <w:lang w:val="en-US" w:eastAsia="zh-CN"/>
              </w:rPr>
              <w:t>属性</w:t>
            </w:r>
          </w:p>
        </w:tc>
      </w:tr>
      <w:tr w14:paraId="2A37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13" w:type="dxa"/>
            <w:vAlign w:val="center"/>
          </w:tcPr>
          <w:p w14:paraId="1636163C">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971" w:type="dxa"/>
            <w:vAlign w:val="center"/>
          </w:tcPr>
          <w:p w14:paraId="46BB1CC0">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2025年消防隐患整改(排烟、疏散等)设计及施工</w:t>
            </w:r>
          </w:p>
        </w:tc>
        <w:tc>
          <w:tcPr>
            <w:tcW w:w="1845" w:type="dxa"/>
            <w:vAlign w:val="center"/>
          </w:tcPr>
          <w:p w14:paraId="1F0EF536">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201.5737</w:t>
            </w:r>
          </w:p>
        </w:tc>
        <w:tc>
          <w:tcPr>
            <w:tcW w:w="1269" w:type="dxa"/>
            <w:vAlign w:val="center"/>
          </w:tcPr>
          <w:p w14:paraId="5DC77385">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建筑业</w:t>
            </w:r>
          </w:p>
        </w:tc>
        <w:tc>
          <w:tcPr>
            <w:tcW w:w="1499" w:type="dxa"/>
            <w:vAlign w:val="center"/>
          </w:tcPr>
          <w:p w14:paraId="5CB30BCF">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rPr>
              <w:t>专门面向中小微企业</w:t>
            </w:r>
          </w:p>
        </w:tc>
        <w:tc>
          <w:tcPr>
            <w:tcW w:w="945" w:type="dxa"/>
            <w:vAlign w:val="center"/>
          </w:tcPr>
          <w:p w14:paraId="18F1435C">
            <w:pPr>
              <w:pStyle w:val="7"/>
              <w:pageBreakBefore w:val="0"/>
              <w:widowControl w:val="0"/>
              <w:kinsoku/>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w:t>
            </w:r>
          </w:p>
        </w:tc>
      </w:tr>
    </w:tbl>
    <w:p w14:paraId="69F24E60">
      <w:pPr>
        <w:pageBreakBefore w:val="0"/>
        <w:widowControl w:val="0"/>
        <w:numPr>
          <w:ilvl w:val="0"/>
          <w:numId w:val="0"/>
        </w:numPr>
        <w:kinsoku/>
        <w:overflowPunct/>
        <w:topLinePunct w:val="0"/>
        <w:autoSpaceDE/>
        <w:autoSpaceDN/>
        <w:bidi w:val="0"/>
        <w:adjustRightInd/>
        <w:snapToGrid/>
        <w:spacing w:before="0" w:after="0"/>
        <w:ind w:left="420" w:leftChars="0" w:hanging="420" w:firstLineChars="0"/>
        <w:textAlignment w:val="auto"/>
        <w:outlineLvl w:val="9"/>
        <w:rPr>
          <w:rFonts w:hint="eastAsia" w:ascii="宋体" w:hAnsi="宋体" w:eastAsia="宋体" w:cs="宋体"/>
          <w:b/>
          <w:bCs/>
          <w:kern w:val="2"/>
          <w:sz w:val="24"/>
          <w:szCs w:val="24"/>
          <w:lang w:val="en-US" w:eastAsia="zh-CN" w:bidi="ar-SA"/>
        </w:rPr>
      </w:pPr>
      <w:bookmarkStart w:id="2" w:name="_Toc156490322"/>
      <w:bookmarkStart w:id="3" w:name="_Toc7900"/>
    </w:p>
    <w:p w14:paraId="4CF8B219">
      <w:pPr>
        <w:rPr>
          <w:rFonts w:hint="eastAsia" w:ascii="宋体" w:hAnsi="宋体" w:eastAsia="宋体" w:cs="宋体"/>
          <w:b/>
          <w:bCs/>
          <w:kern w:val="2"/>
          <w:sz w:val="24"/>
          <w:szCs w:val="24"/>
          <w:lang w:val="en-US" w:eastAsia="zh-CN" w:bidi="ar-SA"/>
        </w:rPr>
      </w:pPr>
    </w:p>
    <w:p w14:paraId="46AD31E5">
      <w:pPr>
        <w:rPr>
          <w:rFonts w:hint="eastAsia" w:ascii="宋体" w:hAnsi="宋体" w:eastAsia="宋体" w:cs="宋体"/>
          <w:b/>
          <w:bCs/>
          <w:kern w:val="2"/>
          <w:sz w:val="24"/>
          <w:szCs w:val="24"/>
          <w:lang w:val="en-US" w:eastAsia="zh-CN" w:bidi="ar-SA"/>
        </w:rPr>
      </w:pPr>
    </w:p>
    <w:p w14:paraId="33485E63">
      <w:pPr>
        <w:rPr>
          <w:rFonts w:hint="eastAsia" w:ascii="宋体" w:hAnsi="宋体" w:eastAsia="宋体" w:cs="宋体"/>
          <w:b/>
          <w:bCs/>
          <w:kern w:val="2"/>
          <w:sz w:val="24"/>
          <w:szCs w:val="24"/>
          <w:lang w:val="en-US" w:eastAsia="zh-CN" w:bidi="ar-SA"/>
        </w:rPr>
      </w:pPr>
    </w:p>
    <w:p w14:paraId="5075DBE2">
      <w:pPr>
        <w:rPr>
          <w:rFonts w:hint="eastAsia" w:ascii="宋体" w:hAnsi="宋体" w:eastAsia="宋体" w:cs="宋体"/>
          <w:b/>
          <w:bCs/>
          <w:kern w:val="2"/>
          <w:sz w:val="24"/>
          <w:szCs w:val="24"/>
          <w:lang w:val="en-US" w:eastAsia="zh-CN" w:bidi="ar-SA"/>
        </w:rPr>
      </w:pPr>
    </w:p>
    <w:p w14:paraId="030FC3EC">
      <w:pPr>
        <w:rPr>
          <w:rFonts w:hint="eastAsia" w:ascii="宋体" w:hAnsi="宋体" w:eastAsia="宋体" w:cs="宋体"/>
          <w:b/>
          <w:bCs/>
          <w:kern w:val="2"/>
          <w:sz w:val="24"/>
          <w:szCs w:val="24"/>
          <w:lang w:val="en-US" w:eastAsia="zh-CN" w:bidi="ar-SA"/>
        </w:rPr>
      </w:pPr>
    </w:p>
    <w:p w14:paraId="4ADCA755">
      <w:pPr>
        <w:rPr>
          <w:rFonts w:hint="eastAsia" w:ascii="宋体" w:hAnsi="宋体" w:eastAsia="宋体" w:cs="宋体"/>
          <w:b/>
          <w:bCs/>
          <w:kern w:val="2"/>
          <w:sz w:val="24"/>
          <w:szCs w:val="24"/>
          <w:lang w:val="en-US" w:eastAsia="zh-CN" w:bidi="ar-SA"/>
        </w:rPr>
      </w:pPr>
    </w:p>
    <w:p w14:paraId="0C606BB4">
      <w:pPr>
        <w:rPr>
          <w:rFonts w:hint="eastAsia" w:ascii="宋体" w:hAnsi="宋体" w:eastAsia="宋体" w:cs="宋体"/>
          <w:b/>
          <w:bCs/>
          <w:kern w:val="2"/>
          <w:sz w:val="24"/>
          <w:szCs w:val="24"/>
          <w:lang w:val="en-US" w:eastAsia="zh-CN" w:bidi="ar-SA"/>
        </w:rPr>
      </w:pPr>
    </w:p>
    <w:p w14:paraId="65AA84EE">
      <w:pPr>
        <w:rPr>
          <w:rFonts w:hint="eastAsia" w:ascii="宋体" w:hAnsi="宋体" w:eastAsia="宋体" w:cs="宋体"/>
          <w:b/>
          <w:bCs/>
          <w:kern w:val="2"/>
          <w:sz w:val="24"/>
          <w:szCs w:val="24"/>
          <w:lang w:val="en-US" w:eastAsia="zh-CN" w:bidi="ar-SA"/>
        </w:rPr>
      </w:pPr>
    </w:p>
    <w:p w14:paraId="23960533">
      <w:pPr>
        <w:rPr>
          <w:rFonts w:hint="eastAsia" w:ascii="宋体" w:hAnsi="宋体" w:eastAsia="宋体" w:cs="宋体"/>
          <w:b/>
          <w:bCs/>
          <w:kern w:val="2"/>
          <w:sz w:val="24"/>
          <w:szCs w:val="24"/>
          <w:lang w:val="en-US" w:eastAsia="zh-CN" w:bidi="ar-SA"/>
        </w:rPr>
      </w:pPr>
    </w:p>
    <w:p w14:paraId="7A428BB2">
      <w:pPr>
        <w:rPr>
          <w:rFonts w:hint="eastAsia" w:ascii="宋体" w:hAnsi="宋体" w:eastAsia="宋体" w:cs="宋体"/>
          <w:b/>
          <w:bCs/>
          <w:kern w:val="2"/>
          <w:sz w:val="24"/>
          <w:szCs w:val="24"/>
          <w:lang w:val="en-US" w:eastAsia="zh-CN" w:bidi="ar-SA"/>
        </w:rPr>
      </w:pPr>
    </w:p>
    <w:p w14:paraId="47576E66">
      <w:pPr>
        <w:rPr>
          <w:rFonts w:hint="eastAsia" w:ascii="宋体" w:hAnsi="宋体" w:eastAsia="宋体" w:cs="宋体"/>
          <w:b/>
          <w:bCs/>
          <w:kern w:val="2"/>
          <w:sz w:val="24"/>
          <w:szCs w:val="24"/>
          <w:lang w:val="en-US" w:eastAsia="zh-CN" w:bidi="ar-SA"/>
        </w:rPr>
      </w:pPr>
    </w:p>
    <w:p w14:paraId="11B7A4E6">
      <w:pPr>
        <w:rPr>
          <w:rFonts w:hint="eastAsia" w:ascii="宋体" w:hAnsi="宋体" w:eastAsia="宋体" w:cs="宋体"/>
          <w:b/>
          <w:bCs/>
          <w:kern w:val="2"/>
          <w:sz w:val="24"/>
          <w:szCs w:val="24"/>
          <w:lang w:val="en-US" w:eastAsia="zh-CN" w:bidi="ar-SA"/>
        </w:rPr>
      </w:pPr>
    </w:p>
    <w:p w14:paraId="0F04EE6D">
      <w:pPr>
        <w:rPr>
          <w:rFonts w:hint="eastAsia" w:ascii="宋体" w:hAnsi="宋体" w:eastAsia="宋体" w:cs="宋体"/>
          <w:b/>
          <w:bCs/>
          <w:kern w:val="2"/>
          <w:sz w:val="24"/>
          <w:szCs w:val="24"/>
          <w:lang w:val="en-US" w:eastAsia="zh-CN" w:bidi="ar-SA"/>
        </w:rPr>
      </w:pPr>
    </w:p>
    <w:p w14:paraId="23C2CCD1">
      <w:pPr>
        <w:rPr>
          <w:rFonts w:hint="eastAsia" w:ascii="宋体" w:hAnsi="宋体" w:eastAsia="宋体" w:cs="宋体"/>
          <w:b/>
          <w:bCs/>
          <w:kern w:val="2"/>
          <w:sz w:val="24"/>
          <w:szCs w:val="24"/>
          <w:lang w:val="en-US" w:eastAsia="zh-CN" w:bidi="ar-SA"/>
        </w:rPr>
      </w:pPr>
    </w:p>
    <w:p w14:paraId="148362DB">
      <w:pPr>
        <w:rPr>
          <w:rFonts w:hint="eastAsia" w:ascii="宋体" w:hAnsi="宋体" w:eastAsia="宋体" w:cs="宋体"/>
          <w:b/>
          <w:bCs/>
          <w:kern w:val="2"/>
          <w:sz w:val="24"/>
          <w:szCs w:val="24"/>
          <w:lang w:val="en-US" w:eastAsia="zh-CN" w:bidi="ar-SA"/>
        </w:rPr>
      </w:pPr>
    </w:p>
    <w:tbl>
      <w:tblPr>
        <w:tblStyle w:val="5"/>
        <w:tblW w:w="8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276"/>
        <w:gridCol w:w="1769"/>
        <w:gridCol w:w="1673"/>
        <w:gridCol w:w="2461"/>
        <w:gridCol w:w="827"/>
      </w:tblGrid>
      <w:tr w14:paraId="5D02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463" w:type="dxa"/>
            <w:gridSpan w:val="6"/>
            <w:vAlign w:val="center"/>
          </w:tcPr>
          <w:p w14:paraId="3339013A">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分项限价表</w:t>
            </w:r>
          </w:p>
        </w:tc>
      </w:tr>
      <w:tr w14:paraId="2AB8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57" w:type="dxa"/>
            <w:vAlign w:val="center"/>
          </w:tcPr>
          <w:p w14:paraId="3521867D">
            <w:p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276" w:type="dxa"/>
            <w:vAlign w:val="center"/>
          </w:tcPr>
          <w:p w14:paraId="18B8B212">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报价内容</w:t>
            </w:r>
          </w:p>
        </w:tc>
        <w:tc>
          <w:tcPr>
            <w:tcW w:w="1769" w:type="dxa"/>
            <w:vAlign w:val="center"/>
          </w:tcPr>
          <w:p w14:paraId="772E6799">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分项限价</w:t>
            </w:r>
          </w:p>
        </w:tc>
        <w:tc>
          <w:tcPr>
            <w:tcW w:w="1673" w:type="dxa"/>
            <w:vAlign w:val="center"/>
          </w:tcPr>
          <w:p w14:paraId="0AF37CC7">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分项报价形式</w:t>
            </w:r>
          </w:p>
        </w:tc>
        <w:tc>
          <w:tcPr>
            <w:tcW w:w="2461" w:type="dxa"/>
            <w:vAlign w:val="center"/>
          </w:tcPr>
          <w:p w14:paraId="2F9B4135">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备注要求</w:t>
            </w:r>
          </w:p>
        </w:tc>
        <w:tc>
          <w:tcPr>
            <w:tcW w:w="827" w:type="dxa"/>
            <w:vAlign w:val="center"/>
          </w:tcPr>
          <w:p w14:paraId="251DAB6D">
            <w:pPr>
              <w:spacing w:line="240" w:lineRule="auto"/>
              <w:jc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条款</w:t>
            </w:r>
          </w:p>
          <w:p w14:paraId="4E8832AB">
            <w:p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属性</w:t>
            </w:r>
          </w:p>
        </w:tc>
      </w:tr>
      <w:tr w14:paraId="4E22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57" w:type="dxa"/>
            <w:vAlign w:val="center"/>
          </w:tcPr>
          <w:p w14:paraId="5D8531EA">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1276" w:type="dxa"/>
            <w:vAlign w:val="center"/>
          </w:tcPr>
          <w:p w14:paraId="2C319DB7">
            <w:pPr>
              <w:jc w:val="center"/>
              <w:rPr>
                <w:rFonts w:hint="eastAsia" w:ascii="宋体" w:hAnsi="宋体" w:eastAsia="宋体" w:cs="宋体"/>
                <w:b w:val="0"/>
                <w:bCs w:val="0"/>
                <w:sz w:val="24"/>
                <w:szCs w:val="24"/>
                <w:vertAlign w:val="baseline"/>
              </w:rPr>
            </w:pPr>
            <w:r>
              <w:rPr>
                <w:rStyle w:val="8"/>
                <w:rFonts w:hint="eastAsia" w:ascii="宋体" w:hAnsi="宋体" w:eastAsia="宋体" w:cs="宋体"/>
                <w:b w:val="0"/>
                <w:bCs w:val="0"/>
                <w:color w:val="auto"/>
                <w:sz w:val="24"/>
                <w:szCs w:val="24"/>
                <w:lang w:val="en-US" w:eastAsia="zh-CN" w:bidi="ar"/>
              </w:rPr>
              <w:t>设计费</w:t>
            </w:r>
          </w:p>
        </w:tc>
        <w:tc>
          <w:tcPr>
            <w:tcW w:w="1769" w:type="dxa"/>
            <w:vAlign w:val="center"/>
          </w:tcPr>
          <w:p w14:paraId="3147F0DE">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1.6万元</w:t>
            </w:r>
          </w:p>
        </w:tc>
        <w:tc>
          <w:tcPr>
            <w:tcW w:w="1673" w:type="dxa"/>
            <w:vAlign w:val="center"/>
          </w:tcPr>
          <w:p w14:paraId="582932E3">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人民币报价</w:t>
            </w:r>
          </w:p>
          <w:p w14:paraId="33DD60F0">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（万元）</w:t>
            </w:r>
          </w:p>
        </w:tc>
        <w:tc>
          <w:tcPr>
            <w:tcW w:w="2461" w:type="dxa"/>
            <w:vAlign w:val="center"/>
          </w:tcPr>
          <w:p w14:paraId="0234AC0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827" w:type="dxa"/>
            <w:vMerge w:val="restart"/>
            <w:vAlign w:val="center"/>
          </w:tcPr>
          <w:p w14:paraId="68D63FAE">
            <w:pPr>
              <w:jc w:val="center"/>
              <w:rPr>
                <w:rFonts w:hint="eastAsia" w:ascii="宋体" w:hAnsi="宋体" w:eastAsia="宋体" w:cs="宋体"/>
                <w:b/>
                <w:bCs/>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w:t>
            </w:r>
          </w:p>
        </w:tc>
      </w:tr>
      <w:tr w14:paraId="2FC3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9" w:hRule="atLeast"/>
        </w:trPr>
        <w:tc>
          <w:tcPr>
            <w:tcW w:w="457" w:type="dxa"/>
            <w:vAlign w:val="center"/>
          </w:tcPr>
          <w:p w14:paraId="1FCE4F63">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1276" w:type="dxa"/>
            <w:vAlign w:val="center"/>
          </w:tcPr>
          <w:p w14:paraId="5D443FB7">
            <w:pPr>
              <w:jc w:val="center"/>
              <w:rPr>
                <w:rStyle w:val="8"/>
                <w:rFonts w:hint="eastAsia" w:ascii="宋体" w:hAnsi="宋体" w:eastAsia="宋体" w:cs="宋体"/>
                <w:b w:val="0"/>
                <w:bCs w:val="0"/>
                <w:color w:val="auto"/>
                <w:sz w:val="24"/>
                <w:szCs w:val="24"/>
                <w:lang w:val="en-US" w:eastAsia="zh-CN" w:bidi="ar"/>
              </w:rPr>
            </w:pPr>
            <w:r>
              <w:rPr>
                <w:rStyle w:val="8"/>
                <w:rFonts w:hint="eastAsia" w:ascii="宋体" w:hAnsi="宋体" w:eastAsia="宋体" w:cs="宋体"/>
                <w:b w:val="0"/>
                <w:bCs w:val="0"/>
                <w:color w:val="auto"/>
                <w:sz w:val="24"/>
                <w:szCs w:val="24"/>
                <w:lang w:val="en-US" w:eastAsia="zh-CN" w:bidi="ar"/>
              </w:rPr>
              <w:t>建筑安装</w:t>
            </w:r>
          </w:p>
          <w:p w14:paraId="1A918BDA">
            <w:pPr>
              <w:jc w:val="center"/>
              <w:rPr>
                <w:rFonts w:hint="eastAsia" w:ascii="宋体" w:hAnsi="宋体" w:eastAsia="宋体" w:cs="宋体"/>
                <w:b w:val="0"/>
                <w:bCs w:val="0"/>
                <w:sz w:val="24"/>
                <w:szCs w:val="24"/>
                <w:vertAlign w:val="baseline"/>
                <w:lang w:val="en-US"/>
              </w:rPr>
            </w:pPr>
            <w:r>
              <w:rPr>
                <w:rStyle w:val="8"/>
                <w:rFonts w:hint="eastAsia" w:ascii="宋体" w:hAnsi="宋体" w:eastAsia="宋体" w:cs="宋体"/>
                <w:b w:val="0"/>
                <w:bCs w:val="0"/>
                <w:color w:val="auto"/>
                <w:sz w:val="24"/>
                <w:szCs w:val="24"/>
                <w:lang w:val="en-US" w:eastAsia="zh-CN" w:bidi="ar"/>
              </w:rPr>
              <w:t>工程费</w:t>
            </w:r>
          </w:p>
        </w:tc>
        <w:tc>
          <w:tcPr>
            <w:tcW w:w="1769" w:type="dxa"/>
            <w:vAlign w:val="center"/>
          </w:tcPr>
          <w:p w14:paraId="1AD5A7D9">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170.4737万元</w:t>
            </w:r>
          </w:p>
        </w:tc>
        <w:tc>
          <w:tcPr>
            <w:tcW w:w="1673" w:type="dxa"/>
            <w:vAlign w:val="center"/>
          </w:tcPr>
          <w:p w14:paraId="13E4CB55">
            <w:pPr>
              <w:spacing w:line="240" w:lineRule="auto"/>
              <w:jc w:val="center"/>
              <w:rPr>
                <w:rStyle w:val="8"/>
                <w:rFonts w:hint="eastAsia" w:ascii="宋体" w:hAnsi="宋体" w:eastAsia="宋体" w:cs="宋体"/>
                <w:b w:val="0"/>
                <w:bCs w:val="0"/>
                <w:color w:val="auto"/>
                <w:sz w:val="24"/>
                <w:szCs w:val="24"/>
                <w:lang w:val="en-US" w:eastAsia="zh-CN" w:bidi="ar"/>
              </w:rPr>
            </w:pPr>
            <w:r>
              <w:rPr>
                <w:rStyle w:val="8"/>
                <w:rFonts w:hint="eastAsia" w:ascii="宋体" w:hAnsi="宋体" w:eastAsia="宋体" w:cs="宋体"/>
                <w:b w:val="0"/>
                <w:bCs w:val="0"/>
                <w:color w:val="auto"/>
                <w:sz w:val="24"/>
                <w:szCs w:val="24"/>
                <w:lang w:val="en-US" w:eastAsia="zh-CN" w:bidi="ar"/>
              </w:rPr>
              <w:t>下浮率报价</w:t>
            </w:r>
          </w:p>
          <w:p w14:paraId="313DEE4D">
            <w:pPr>
              <w:spacing w:line="240" w:lineRule="auto"/>
              <w:jc w:val="center"/>
              <w:rPr>
                <w:rStyle w:val="8"/>
                <w:rFonts w:hint="eastAsia" w:ascii="宋体" w:hAnsi="宋体" w:eastAsia="宋体" w:cs="宋体"/>
                <w:color w:val="auto"/>
                <w:sz w:val="24"/>
                <w:szCs w:val="24"/>
                <w:lang w:val="en-US" w:eastAsia="zh-CN" w:bidi="ar"/>
              </w:rPr>
            </w:pPr>
            <w:r>
              <w:rPr>
                <w:rStyle w:val="8"/>
                <w:rFonts w:hint="eastAsia" w:ascii="宋体" w:hAnsi="宋体" w:eastAsia="宋体" w:cs="宋体"/>
                <w:b w:val="0"/>
                <w:bCs w:val="0"/>
                <w:color w:val="auto"/>
                <w:sz w:val="24"/>
                <w:szCs w:val="24"/>
                <w:lang w:val="en-US" w:eastAsia="zh-CN" w:bidi="ar"/>
              </w:rPr>
              <w:t>（%）</w:t>
            </w:r>
          </w:p>
        </w:tc>
        <w:tc>
          <w:tcPr>
            <w:tcW w:w="2461" w:type="dxa"/>
            <w:vAlign w:val="center"/>
          </w:tcPr>
          <w:p w14:paraId="6785938C">
            <w:pPr>
              <w:jc w:val="left"/>
              <w:rPr>
                <w:rFonts w:hint="eastAsia" w:ascii="宋体" w:hAnsi="宋体" w:eastAsia="宋体" w:cs="宋体"/>
                <w:sz w:val="24"/>
                <w:szCs w:val="24"/>
                <w:vertAlign w:val="baseline"/>
              </w:rPr>
            </w:pPr>
            <w:r>
              <w:rPr>
                <w:rStyle w:val="8"/>
                <w:rFonts w:hint="eastAsia" w:ascii="宋体" w:hAnsi="宋体" w:eastAsia="宋体" w:cs="宋体"/>
                <w:color w:val="auto"/>
                <w:sz w:val="24"/>
                <w:szCs w:val="24"/>
                <w:lang w:val="en-US" w:eastAsia="zh-CN" w:bidi="ar"/>
              </w:rPr>
              <w:t>建筑安装工程费限价*（1-投标下浮率）（下浮率保留小数点后两位），且投标下浮率</w:t>
            </w:r>
            <w:r>
              <w:rPr>
                <w:rStyle w:val="9"/>
                <w:rFonts w:hint="eastAsia" w:ascii="宋体" w:hAnsi="宋体" w:eastAsia="宋体" w:cs="宋体"/>
                <w:color w:val="auto"/>
                <w:sz w:val="24"/>
                <w:szCs w:val="24"/>
                <w:lang w:val="en-US" w:eastAsia="zh-CN" w:bidi="ar"/>
              </w:rPr>
              <w:t>须＞3%。</w:t>
            </w:r>
          </w:p>
        </w:tc>
        <w:tc>
          <w:tcPr>
            <w:tcW w:w="827" w:type="dxa"/>
            <w:vMerge w:val="continue"/>
            <w:vAlign w:val="center"/>
          </w:tcPr>
          <w:p w14:paraId="568B2A65">
            <w:pPr>
              <w:jc w:val="center"/>
              <w:rPr>
                <w:rStyle w:val="8"/>
                <w:rFonts w:hint="eastAsia" w:ascii="宋体" w:hAnsi="宋体" w:eastAsia="宋体" w:cs="宋体"/>
                <w:color w:val="auto"/>
                <w:sz w:val="24"/>
                <w:szCs w:val="24"/>
                <w:lang w:val="en-US" w:eastAsia="zh-CN" w:bidi="ar"/>
              </w:rPr>
            </w:pPr>
          </w:p>
        </w:tc>
      </w:tr>
      <w:tr w14:paraId="4285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457" w:type="dxa"/>
            <w:vAlign w:val="center"/>
          </w:tcPr>
          <w:p w14:paraId="2BD06F3B">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1276" w:type="dxa"/>
            <w:vAlign w:val="center"/>
          </w:tcPr>
          <w:p w14:paraId="7243E899">
            <w:pPr>
              <w:jc w:val="center"/>
              <w:rPr>
                <w:rFonts w:hint="eastAsia" w:ascii="宋体" w:hAnsi="宋体" w:eastAsia="宋体" w:cs="宋体"/>
                <w:b w:val="0"/>
                <w:bCs w:val="0"/>
                <w:sz w:val="24"/>
                <w:szCs w:val="24"/>
                <w:vertAlign w:val="baseline"/>
              </w:rPr>
            </w:pPr>
            <w:r>
              <w:rPr>
                <w:rStyle w:val="8"/>
                <w:rFonts w:hint="eastAsia" w:ascii="宋体" w:hAnsi="宋体" w:eastAsia="宋体" w:cs="宋体"/>
                <w:b w:val="0"/>
                <w:bCs w:val="0"/>
                <w:color w:val="auto"/>
                <w:sz w:val="24"/>
                <w:szCs w:val="24"/>
                <w:lang w:val="en-US" w:eastAsia="zh-CN" w:bidi="ar"/>
              </w:rPr>
              <w:t>暂估价</w:t>
            </w:r>
          </w:p>
        </w:tc>
        <w:tc>
          <w:tcPr>
            <w:tcW w:w="1769" w:type="dxa"/>
            <w:vAlign w:val="center"/>
          </w:tcPr>
          <w:p w14:paraId="1A451CCE">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4.5万元</w:t>
            </w:r>
          </w:p>
        </w:tc>
        <w:tc>
          <w:tcPr>
            <w:tcW w:w="1673" w:type="dxa"/>
            <w:vAlign w:val="center"/>
          </w:tcPr>
          <w:p w14:paraId="1E78D9FA">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人民币报价</w:t>
            </w:r>
          </w:p>
          <w:p w14:paraId="32963E8C">
            <w:p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（万元）</w:t>
            </w:r>
          </w:p>
        </w:tc>
        <w:tc>
          <w:tcPr>
            <w:tcW w:w="2461" w:type="dxa"/>
            <w:vAlign w:val="center"/>
          </w:tcPr>
          <w:p w14:paraId="143BC515">
            <w:pPr>
              <w:jc w:val="left"/>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不可竞争费，须固定报价</w:t>
            </w:r>
          </w:p>
        </w:tc>
        <w:tc>
          <w:tcPr>
            <w:tcW w:w="827" w:type="dxa"/>
            <w:vMerge w:val="continue"/>
            <w:vAlign w:val="center"/>
          </w:tcPr>
          <w:p w14:paraId="5A11F21E">
            <w:pPr>
              <w:jc w:val="center"/>
              <w:rPr>
                <w:rFonts w:hint="eastAsia" w:ascii="宋体" w:hAnsi="宋体" w:eastAsia="宋体" w:cs="宋体"/>
                <w:b/>
                <w:bCs/>
                <w:sz w:val="24"/>
                <w:szCs w:val="24"/>
                <w:vertAlign w:val="baseline"/>
                <w:lang w:val="en-US" w:eastAsia="zh-CN"/>
              </w:rPr>
            </w:pPr>
          </w:p>
        </w:tc>
      </w:tr>
      <w:tr w14:paraId="199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457" w:type="dxa"/>
            <w:vAlign w:val="center"/>
          </w:tcPr>
          <w:p w14:paraId="7D4F50BA">
            <w:pPr>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w:t>
            </w:r>
          </w:p>
        </w:tc>
        <w:tc>
          <w:tcPr>
            <w:tcW w:w="1276" w:type="dxa"/>
            <w:vAlign w:val="center"/>
          </w:tcPr>
          <w:p w14:paraId="6A566416">
            <w:pPr>
              <w:jc w:val="center"/>
              <w:rPr>
                <w:rStyle w:val="8"/>
                <w:rFonts w:hint="eastAsia" w:ascii="宋体" w:hAnsi="宋体" w:eastAsia="宋体" w:cs="宋体"/>
                <w:b w:val="0"/>
                <w:bCs w:val="0"/>
                <w:color w:val="auto"/>
                <w:sz w:val="24"/>
                <w:szCs w:val="24"/>
                <w:lang w:val="en-US" w:eastAsia="zh-CN" w:bidi="ar"/>
              </w:rPr>
            </w:pPr>
            <w:r>
              <w:rPr>
                <w:rStyle w:val="8"/>
                <w:rFonts w:hint="eastAsia" w:ascii="宋体" w:hAnsi="宋体" w:eastAsia="宋体" w:cs="宋体"/>
                <w:b w:val="0"/>
                <w:bCs w:val="0"/>
                <w:color w:val="auto"/>
                <w:sz w:val="24"/>
                <w:szCs w:val="24"/>
                <w:lang w:val="en-US" w:eastAsia="zh-CN" w:bidi="ar"/>
              </w:rPr>
              <w:t>暂列金</w:t>
            </w:r>
          </w:p>
        </w:tc>
        <w:tc>
          <w:tcPr>
            <w:tcW w:w="1769" w:type="dxa"/>
            <w:vAlign w:val="center"/>
          </w:tcPr>
          <w:p w14:paraId="6958D848">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25万元</w:t>
            </w:r>
          </w:p>
        </w:tc>
        <w:tc>
          <w:tcPr>
            <w:tcW w:w="1673" w:type="dxa"/>
            <w:vAlign w:val="center"/>
          </w:tcPr>
          <w:p w14:paraId="73F19C16">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人民币报价</w:t>
            </w:r>
          </w:p>
          <w:p w14:paraId="55CB9736">
            <w:p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（万元）</w:t>
            </w:r>
          </w:p>
        </w:tc>
        <w:tc>
          <w:tcPr>
            <w:tcW w:w="2461" w:type="dxa"/>
            <w:vAlign w:val="center"/>
          </w:tcPr>
          <w:p w14:paraId="47F2B478">
            <w:pPr>
              <w:jc w:val="left"/>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不可竞争费，须固定报价</w:t>
            </w:r>
          </w:p>
        </w:tc>
        <w:tc>
          <w:tcPr>
            <w:tcW w:w="827" w:type="dxa"/>
            <w:vMerge w:val="continue"/>
            <w:vAlign w:val="center"/>
          </w:tcPr>
          <w:p w14:paraId="32B24110">
            <w:pPr>
              <w:jc w:val="center"/>
              <w:rPr>
                <w:rFonts w:hint="eastAsia" w:ascii="宋体" w:hAnsi="宋体" w:eastAsia="宋体" w:cs="宋体"/>
                <w:b/>
                <w:bCs/>
                <w:sz w:val="24"/>
                <w:szCs w:val="24"/>
                <w:vertAlign w:val="baseline"/>
                <w:lang w:val="en-US" w:eastAsia="zh-CN"/>
              </w:rPr>
            </w:pPr>
          </w:p>
        </w:tc>
      </w:tr>
      <w:tr w14:paraId="002CE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1733" w:type="dxa"/>
            <w:gridSpan w:val="2"/>
            <w:vAlign w:val="center"/>
          </w:tcPr>
          <w:p w14:paraId="66411CBA">
            <w:pPr>
              <w:jc w:val="center"/>
              <w:rPr>
                <w:rStyle w:val="8"/>
                <w:rFonts w:hint="eastAsia" w:ascii="宋体" w:hAnsi="宋体" w:eastAsia="宋体" w:cs="宋体"/>
                <w:color w:val="auto"/>
                <w:sz w:val="24"/>
                <w:szCs w:val="24"/>
                <w:lang w:val="en-US" w:eastAsia="zh-CN" w:bidi="ar"/>
              </w:rPr>
            </w:pPr>
            <w:r>
              <w:rPr>
                <w:rStyle w:val="8"/>
                <w:rFonts w:hint="eastAsia" w:ascii="宋体" w:hAnsi="宋体" w:eastAsia="宋体" w:cs="宋体"/>
                <w:color w:val="auto"/>
                <w:sz w:val="24"/>
                <w:szCs w:val="24"/>
                <w:lang w:val="en-US" w:eastAsia="zh-CN" w:bidi="ar"/>
              </w:rPr>
              <w:t>项目最高限价</w:t>
            </w:r>
          </w:p>
          <w:p w14:paraId="0FB3D2FA">
            <w:pPr>
              <w:jc w:val="center"/>
              <w:rPr>
                <w:rStyle w:val="8"/>
                <w:rFonts w:hint="eastAsia" w:ascii="宋体" w:hAnsi="宋体" w:eastAsia="宋体" w:cs="宋体"/>
                <w:color w:val="auto"/>
                <w:sz w:val="24"/>
                <w:szCs w:val="24"/>
                <w:lang w:val="en-US" w:eastAsia="zh-CN" w:bidi="ar"/>
              </w:rPr>
            </w:pPr>
            <w:r>
              <w:rPr>
                <w:rStyle w:val="8"/>
                <w:rFonts w:hint="eastAsia" w:ascii="宋体" w:hAnsi="宋体" w:eastAsia="宋体" w:cs="宋体"/>
                <w:color w:val="auto"/>
                <w:sz w:val="24"/>
                <w:szCs w:val="24"/>
                <w:lang w:val="en-US" w:eastAsia="zh-CN" w:bidi="ar"/>
              </w:rPr>
              <w:t>（万元）</w:t>
            </w:r>
          </w:p>
        </w:tc>
        <w:tc>
          <w:tcPr>
            <w:tcW w:w="1769" w:type="dxa"/>
            <w:vAlign w:val="center"/>
          </w:tcPr>
          <w:p w14:paraId="013BF816">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201.5737万元</w:t>
            </w:r>
          </w:p>
        </w:tc>
        <w:tc>
          <w:tcPr>
            <w:tcW w:w="1673" w:type="dxa"/>
            <w:vAlign w:val="center"/>
          </w:tcPr>
          <w:p w14:paraId="0F0D780E">
            <w:p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人民币报总价（万元）</w:t>
            </w:r>
          </w:p>
        </w:tc>
        <w:tc>
          <w:tcPr>
            <w:tcW w:w="2461" w:type="dxa"/>
            <w:vAlign w:val="center"/>
          </w:tcPr>
          <w:p w14:paraId="13C40A99">
            <w:pPr>
              <w:jc w:val="lef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（投标总报价为人民币报价，分项报价中如有下浮率报价的须换算成人民币报价形式后进行总价报价）</w:t>
            </w:r>
          </w:p>
        </w:tc>
        <w:tc>
          <w:tcPr>
            <w:tcW w:w="827" w:type="dxa"/>
            <w:vMerge w:val="continue"/>
            <w:vAlign w:val="center"/>
          </w:tcPr>
          <w:p w14:paraId="4CFE0F8F">
            <w:pPr>
              <w:jc w:val="center"/>
              <w:rPr>
                <w:rFonts w:hint="eastAsia" w:ascii="宋体" w:hAnsi="宋体" w:eastAsia="宋体" w:cs="宋体"/>
                <w:b/>
                <w:bCs/>
                <w:sz w:val="24"/>
                <w:szCs w:val="24"/>
                <w:vertAlign w:val="baseline"/>
                <w:lang w:val="en-US" w:eastAsia="zh-CN"/>
              </w:rPr>
            </w:pPr>
          </w:p>
        </w:tc>
      </w:tr>
      <w:tr w14:paraId="2BEC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463" w:type="dxa"/>
            <w:gridSpan w:val="6"/>
            <w:vAlign w:val="center"/>
          </w:tcPr>
          <w:p w14:paraId="09CD26B1">
            <w:pPr>
              <w:jc w:val="left"/>
              <w:rPr>
                <w:rStyle w:val="9"/>
                <w:rFonts w:hint="eastAsia" w:ascii="宋体" w:hAnsi="宋体" w:eastAsia="宋体" w:cs="宋体"/>
                <w:color w:val="auto"/>
                <w:sz w:val="24"/>
                <w:szCs w:val="24"/>
                <w:lang w:val="en-US" w:eastAsia="zh-CN" w:bidi="ar"/>
              </w:rPr>
            </w:pPr>
            <w:r>
              <w:rPr>
                <w:rStyle w:val="9"/>
                <w:rFonts w:hint="eastAsia" w:ascii="宋体" w:hAnsi="宋体" w:eastAsia="宋体" w:cs="宋体"/>
                <w:color w:val="auto"/>
                <w:sz w:val="24"/>
                <w:szCs w:val="24"/>
                <w:lang w:val="en-US" w:eastAsia="zh-CN" w:bidi="ar"/>
              </w:rPr>
              <w:t>备注：</w:t>
            </w:r>
          </w:p>
          <w:p w14:paraId="79F144A4">
            <w:pPr>
              <w:numPr>
                <w:ilvl w:val="0"/>
                <w:numId w:val="1"/>
              </w:numPr>
              <w:jc w:val="left"/>
              <w:rPr>
                <w:rStyle w:val="9"/>
                <w:rFonts w:hint="eastAsia" w:ascii="宋体" w:hAnsi="宋体" w:eastAsia="宋体" w:cs="宋体"/>
                <w:color w:val="auto"/>
                <w:sz w:val="24"/>
                <w:szCs w:val="24"/>
                <w:lang w:val="en-US" w:eastAsia="zh-CN" w:bidi="ar"/>
              </w:rPr>
            </w:pPr>
            <w:r>
              <w:rPr>
                <w:rStyle w:val="9"/>
                <w:rFonts w:hint="eastAsia" w:ascii="宋体" w:hAnsi="宋体" w:eastAsia="宋体" w:cs="宋体"/>
                <w:color w:val="auto"/>
                <w:sz w:val="24"/>
                <w:szCs w:val="24"/>
                <w:lang w:val="en-US" w:eastAsia="zh-CN" w:bidi="ar"/>
              </w:rPr>
              <w:t>设计费、建筑安装工程费均不得超过以上分项限价，且须按以上备注要求进行响应报价，否则其递交的响应文件将被否决。</w:t>
            </w:r>
          </w:p>
          <w:p w14:paraId="316A70AF">
            <w:pPr>
              <w:numPr>
                <w:ilvl w:val="0"/>
                <w:numId w:val="1"/>
              </w:numPr>
              <w:jc w:val="left"/>
              <w:rPr>
                <w:rStyle w:val="9"/>
                <w:rFonts w:hint="eastAsia" w:ascii="宋体" w:hAnsi="宋体" w:eastAsia="宋体" w:cs="宋体"/>
                <w:color w:val="auto"/>
                <w:sz w:val="24"/>
                <w:szCs w:val="24"/>
                <w:lang w:val="en-US" w:eastAsia="zh-CN" w:bidi="ar"/>
              </w:rPr>
            </w:pPr>
            <w:r>
              <w:rPr>
                <w:rStyle w:val="9"/>
                <w:rFonts w:hint="eastAsia" w:ascii="宋体" w:hAnsi="宋体" w:eastAsia="宋体" w:cs="宋体"/>
                <w:color w:val="auto"/>
                <w:sz w:val="24"/>
                <w:szCs w:val="24"/>
                <w:lang w:val="en-US" w:eastAsia="zh-CN" w:bidi="ar"/>
              </w:rPr>
              <w:t>暂估价、暂列金报价均须按以上分项限价报价，如有调整不按照以上备注要求的，则其递交的响应文件将被否决。</w:t>
            </w:r>
          </w:p>
          <w:p w14:paraId="7269FFA9">
            <w:pPr>
              <w:numPr>
                <w:ilvl w:val="0"/>
                <w:numId w:val="1"/>
              </w:numPr>
              <w:jc w:val="left"/>
              <w:rPr>
                <w:rStyle w:val="9"/>
                <w:rFonts w:hint="eastAsia" w:ascii="宋体" w:hAnsi="宋体" w:eastAsia="宋体" w:cs="宋体"/>
                <w:color w:val="auto"/>
                <w:sz w:val="24"/>
                <w:szCs w:val="24"/>
                <w:lang w:val="en-US" w:eastAsia="zh-CN" w:bidi="ar"/>
              </w:rPr>
            </w:pPr>
            <w:r>
              <w:rPr>
                <w:rStyle w:val="9"/>
                <w:rFonts w:hint="eastAsia" w:ascii="宋体" w:hAnsi="宋体" w:eastAsia="宋体" w:cs="宋体"/>
                <w:color w:val="auto"/>
                <w:sz w:val="24"/>
                <w:szCs w:val="24"/>
                <w:lang w:val="en-US" w:eastAsia="zh-CN" w:bidi="ar"/>
              </w:rPr>
              <w:t>本项目的最高限价不得超过项目最高限价，且须满足以上备注要求，否则其递交的响应文件将被否决。</w:t>
            </w:r>
          </w:p>
        </w:tc>
      </w:tr>
    </w:tbl>
    <w:p w14:paraId="16D2E893">
      <w:pPr>
        <w:rPr>
          <w:rFonts w:hint="eastAsia"/>
          <w:lang w:val="en-US" w:eastAsia="zh-CN"/>
        </w:rPr>
      </w:pPr>
    </w:p>
    <w:p w14:paraId="68EA9F16">
      <w:pPr>
        <w:pStyle w:val="3"/>
        <w:pageBreakBefore w:val="0"/>
        <w:widowControl w:val="0"/>
        <w:numPr>
          <w:ilvl w:val="0"/>
          <w:numId w:val="0"/>
        </w:numPr>
        <w:kinsoku/>
        <w:overflowPunct/>
        <w:topLinePunct w:val="0"/>
        <w:autoSpaceDE/>
        <w:autoSpaceDN/>
        <w:bidi w:val="0"/>
        <w:adjustRightInd/>
        <w:snapToGrid/>
        <w:spacing w:before="0" w:after="0"/>
        <w:ind w:left="420" w:leftChars="0" w:hanging="420" w:firstLineChars="0"/>
        <w:textAlignment w:val="auto"/>
        <w:rPr>
          <w:rFonts w:hint="eastAsia" w:ascii="宋体" w:hAnsi="宋体" w:eastAsia="宋体" w:cs="宋体"/>
          <w:sz w:val="24"/>
          <w:szCs w:val="24"/>
          <w:lang w:eastAsia="zh-CN"/>
        </w:rPr>
      </w:pPr>
      <w:r>
        <w:rPr>
          <w:rFonts w:hint="eastAsia" w:ascii="宋体" w:hAnsi="宋体" w:eastAsia="宋体" w:cs="宋体"/>
          <w:b/>
          <w:bCs/>
          <w:kern w:val="2"/>
          <w:sz w:val="24"/>
          <w:szCs w:val="24"/>
          <w:lang w:val="en-US" w:eastAsia="zh-CN" w:bidi="ar-SA"/>
        </w:rPr>
        <w:t>二、</w:t>
      </w:r>
      <w:bookmarkEnd w:id="2"/>
      <w:r>
        <w:rPr>
          <w:rFonts w:hint="eastAsia" w:ascii="宋体" w:hAnsi="宋体" w:eastAsia="宋体" w:cs="宋体"/>
          <w:sz w:val="24"/>
          <w:szCs w:val="24"/>
          <w:lang w:val="en-US" w:eastAsia="zh-CN"/>
        </w:rPr>
        <w:t>技术要求</w:t>
      </w:r>
      <w:bookmarkEnd w:id="3"/>
    </w:p>
    <w:tbl>
      <w:tblPr>
        <w:tblStyle w:val="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447"/>
        <w:gridCol w:w="5422"/>
        <w:gridCol w:w="862"/>
      </w:tblGrid>
      <w:tr w14:paraId="1064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Head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43B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BF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技术条款</w:t>
            </w:r>
          </w:p>
        </w:tc>
        <w:tc>
          <w:tcPr>
            <w:tcW w:w="5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84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14FC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条款属性</w:t>
            </w:r>
          </w:p>
        </w:tc>
      </w:tr>
      <w:tr w14:paraId="46DBB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1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7D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施工内容</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239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项目为消防隐患整改（排烟、疏散等）设计施工一体化项目，主要包括：根据消防管理相关部门对湖北汽车工业学院检查反馈的《消防安全隐患清单》，对学校道德讲堂（大礼堂）、桃园124号公寓、汽车综合实验楼3楼办公区、汽车工程学院办公楼、电院综合楼、逸夫图书馆一层、体育馆、档案馆、东区三号楼A栋、第一实验楼等场所，增设排烟设施（窗）、设置防火门、改造封闭楼梯间、增设疏散楼梯等内容，以满足规范要求</w:t>
            </w:r>
            <w:r>
              <w:rPr>
                <w:rFonts w:hint="eastAsia" w:ascii="宋体" w:hAnsi="宋体" w:eastAsia="宋体" w:cs="宋体"/>
                <w:i w:val="0"/>
                <w:iCs w:val="0"/>
                <w:color w:val="000000"/>
                <w:kern w:val="0"/>
                <w:sz w:val="24"/>
                <w:szCs w:val="24"/>
                <w:highlight w:val="none"/>
                <w:u w:val="none"/>
                <w:lang w:val="en-US" w:eastAsia="zh-CN" w:bidi="ar"/>
              </w:rPr>
              <w:t>。</w:t>
            </w:r>
            <w:r>
              <w:rPr>
                <w:rFonts w:hint="eastAsia" w:cs="宋体"/>
                <w:i w:val="0"/>
                <w:iCs w:val="0"/>
                <w:color w:val="000000"/>
                <w:kern w:val="0"/>
                <w:sz w:val="24"/>
                <w:szCs w:val="24"/>
                <w:highlight w:val="none"/>
                <w:u w:val="none"/>
                <w:lang w:val="en-US" w:eastAsia="zh-CN" w:bidi="ar"/>
              </w:rPr>
              <w:t>供应商</w:t>
            </w:r>
            <w:r>
              <w:rPr>
                <w:rFonts w:hint="eastAsia" w:ascii="宋体" w:hAnsi="宋体" w:eastAsia="宋体" w:cs="宋体"/>
                <w:i w:val="0"/>
                <w:iCs w:val="0"/>
                <w:color w:val="000000"/>
                <w:kern w:val="0"/>
                <w:sz w:val="24"/>
                <w:szCs w:val="24"/>
                <w:highlight w:val="none"/>
                <w:u w:val="none"/>
                <w:lang w:val="en-US" w:eastAsia="zh-CN" w:bidi="ar"/>
              </w:rPr>
              <w:t>根据</w:t>
            </w:r>
            <w:r>
              <w:rPr>
                <w:rFonts w:hint="eastAsia" w:cs="宋体"/>
                <w:i w:val="0"/>
                <w:iCs w:val="0"/>
                <w:color w:val="000000"/>
                <w:kern w:val="0"/>
                <w:sz w:val="24"/>
                <w:szCs w:val="24"/>
                <w:highlight w:val="none"/>
                <w:u w:val="none"/>
                <w:lang w:val="en-US" w:eastAsia="zh-CN" w:bidi="ar"/>
              </w:rPr>
              <w:t>采购人</w:t>
            </w:r>
            <w:r>
              <w:rPr>
                <w:rFonts w:hint="eastAsia" w:ascii="宋体" w:hAnsi="宋体" w:eastAsia="宋体" w:cs="宋体"/>
                <w:i w:val="0"/>
                <w:iCs w:val="0"/>
                <w:color w:val="000000"/>
                <w:kern w:val="0"/>
                <w:sz w:val="24"/>
                <w:szCs w:val="24"/>
                <w:highlight w:val="none"/>
                <w:u w:val="none"/>
                <w:lang w:val="en-US" w:eastAsia="zh-CN" w:bidi="ar"/>
              </w:rPr>
              <w:t>提供的项目初步设计方案图纸，完</w:t>
            </w:r>
            <w:r>
              <w:rPr>
                <w:rFonts w:hint="eastAsia" w:ascii="宋体" w:hAnsi="宋体" w:eastAsia="宋体" w:cs="宋体"/>
                <w:i w:val="0"/>
                <w:iCs w:val="0"/>
                <w:color w:val="000000"/>
                <w:kern w:val="0"/>
                <w:sz w:val="24"/>
                <w:szCs w:val="24"/>
                <w:u w:val="none"/>
                <w:lang w:val="en-US" w:eastAsia="zh-CN" w:bidi="ar"/>
              </w:rPr>
              <w:t>成施工图深化设计和施工，以及</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要求的与本项目有关的其他事项。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设计任务：对初步设计方案进行深化，完成施工图设计，须充分征求</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意见并通过</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认可，达到国家、地方法律法规及规范的要求。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施工任务：根据</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审查确认并满足法律法规及规范要求的施工图，完成消防隐患整改（排烟、疏散等）的施工，并对工程的质量、进度、安全、造价、合同履行等全面负责。</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5C9A">
            <w:pPr>
              <w:jc w:val="center"/>
              <w:rPr>
                <w:rFonts w:hint="eastAsia" w:ascii="宋体" w:hAnsi="宋体" w:eastAsia="宋体" w:cs="宋体"/>
                <w:i w:val="0"/>
                <w:iCs w:val="0"/>
                <w:color w:val="000000"/>
                <w:sz w:val="24"/>
                <w:szCs w:val="24"/>
                <w:u w:val="none"/>
                <w:lang w:val="en-US" w:eastAsia="zh-CN"/>
              </w:rPr>
            </w:pPr>
          </w:p>
        </w:tc>
      </w:tr>
      <w:tr w14:paraId="0E870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92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37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计划工期及延期处罚</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E6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计划工期：</w:t>
            </w:r>
            <w:r>
              <w:rPr>
                <w:rFonts w:hint="eastAsia" w:cs="宋体"/>
                <w:i w:val="0"/>
                <w:iCs w:val="0"/>
                <w:color w:val="000000"/>
                <w:kern w:val="0"/>
                <w:sz w:val="24"/>
                <w:szCs w:val="24"/>
                <w:u w:val="none"/>
                <w:lang w:val="en-US" w:eastAsia="zh-CN" w:bidi="ar"/>
              </w:rPr>
              <w:t>合同签订之日起</w:t>
            </w:r>
            <w:r>
              <w:rPr>
                <w:rFonts w:hint="eastAsia" w:ascii="宋体" w:hAnsi="宋体" w:eastAsia="宋体" w:cs="宋体"/>
                <w:i w:val="0"/>
                <w:iCs w:val="0"/>
                <w:color w:val="000000"/>
                <w:kern w:val="0"/>
                <w:sz w:val="24"/>
                <w:szCs w:val="24"/>
                <w:u w:val="none"/>
                <w:lang w:val="en-US" w:eastAsia="zh-CN" w:bidi="ar"/>
              </w:rPr>
              <w:t>60日历日内。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延期处罚：因</w:t>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原因导致总工期延误的，按4000 元/天从工程款中扣罚违约金。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sz w:val="24"/>
                <w:szCs w:val="24"/>
                <w:lang w:val="en-US" w:eastAsia="zh-CN"/>
              </w:rPr>
              <w:t>（</w:t>
            </w:r>
            <w:r>
              <w:rPr>
                <w:rFonts w:hint="eastAsia" w:cs="宋体"/>
                <w:b/>
                <w:bCs/>
                <w:sz w:val="24"/>
                <w:szCs w:val="24"/>
                <w:lang w:val="en-US" w:eastAsia="zh-CN"/>
              </w:rPr>
              <w:t>供应商</w:t>
            </w:r>
            <w:r>
              <w:rPr>
                <w:rFonts w:hint="eastAsia" w:ascii="宋体" w:hAnsi="宋体" w:eastAsia="宋体" w:cs="宋体"/>
                <w:b/>
                <w:bCs/>
                <w:sz w:val="24"/>
                <w:szCs w:val="24"/>
                <w:lang w:val="en-US" w:eastAsia="zh-CN"/>
              </w:rPr>
              <w:t>须提供书面承诺函）</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82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022AD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5CA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D1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最晚竣工交付时间</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12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最晚于</w:t>
            </w:r>
            <w:r>
              <w:rPr>
                <w:rFonts w:hint="eastAsia"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月</w:t>
            </w:r>
            <w:r>
              <w:rPr>
                <w:rFonts w:hint="eastAsia" w:cs="宋体"/>
                <w:i w:val="0"/>
                <w:iCs w:val="0"/>
                <w:color w:val="000000"/>
                <w:kern w:val="0"/>
                <w:sz w:val="24"/>
                <w:szCs w:val="24"/>
                <w:u w:val="none"/>
                <w:lang w:val="en-US" w:eastAsia="zh-CN" w:bidi="ar"/>
              </w:rPr>
              <w:t>30</w:t>
            </w:r>
            <w:r>
              <w:rPr>
                <w:rFonts w:hint="eastAsia" w:ascii="宋体" w:hAnsi="宋体" w:eastAsia="宋体" w:cs="宋体"/>
                <w:i w:val="0"/>
                <w:iCs w:val="0"/>
                <w:color w:val="000000"/>
                <w:kern w:val="0"/>
                <w:sz w:val="24"/>
                <w:szCs w:val="24"/>
                <w:u w:val="none"/>
                <w:lang w:val="en-US" w:eastAsia="zh-CN" w:bidi="ar"/>
              </w:rPr>
              <w:t>日竣工交付验收。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sz w:val="24"/>
                <w:szCs w:val="24"/>
                <w:lang w:val="en-US" w:eastAsia="zh-CN"/>
              </w:rPr>
              <w:t>（</w:t>
            </w:r>
            <w:r>
              <w:rPr>
                <w:rFonts w:hint="eastAsia" w:cs="宋体"/>
                <w:b/>
                <w:bCs/>
                <w:sz w:val="24"/>
                <w:szCs w:val="24"/>
                <w:lang w:val="en-US" w:eastAsia="zh-CN"/>
              </w:rPr>
              <w:t>供应商</w:t>
            </w:r>
            <w:r>
              <w:rPr>
                <w:rFonts w:hint="eastAsia" w:ascii="宋体" w:hAnsi="宋体" w:eastAsia="宋体" w:cs="宋体"/>
                <w:b/>
                <w:bCs/>
                <w:sz w:val="24"/>
                <w:szCs w:val="24"/>
                <w:lang w:val="en-US" w:eastAsia="zh-CN"/>
              </w:rPr>
              <w:t>须提供书面承诺函）</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E9A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1CC1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E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8D1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工程执行</w:t>
            </w:r>
          </w:p>
          <w:p w14:paraId="3F8666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84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1.本招标工程项目材料、设备、施工须达到国家和省、市或行业的下列现行标准、规范的要求；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2.按现行建筑、安装、消防、机电工程设计标准和规范、规程执行；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3.按现行的建筑、安装、消防、机电工程施工操作规范及验收规范执行；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4.按现行的建筑工程施工质量验收统一标准执行；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5.按省、市建设行政主管部门的相关文件执行。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6.根据工程设计要求，该项工程施工还应满足下列标准要求：如有更新，则按最新规范执行。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《低压配电设计规范》GB 50054</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《建筑设计防火规范》GB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50016</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2014（2018版）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《供配电系统设计规范》GB 50052</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《民用建筑电气设计标准》GB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51348</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《火灾自动报警系统设计规范》GB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50116</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《消防应急照明和</w:t>
            </w:r>
            <w:r>
              <w:rPr>
                <w:rFonts w:hint="eastAsia" w:cs="宋体"/>
                <w:i w:val="0"/>
                <w:iCs w:val="0"/>
                <w:color w:val="000000"/>
                <w:kern w:val="0"/>
                <w:sz w:val="24"/>
                <w:szCs w:val="24"/>
                <w:u w:val="none"/>
                <w:lang w:val="en-US" w:eastAsia="zh-CN" w:bidi="ar"/>
              </w:rPr>
              <w:t>疏散</w:t>
            </w:r>
            <w:r>
              <w:rPr>
                <w:rFonts w:hint="eastAsia" w:ascii="宋体" w:hAnsi="宋体" w:eastAsia="宋体" w:cs="宋体"/>
                <w:i w:val="0"/>
                <w:iCs w:val="0"/>
                <w:color w:val="000000"/>
                <w:kern w:val="0"/>
                <w:sz w:val="24"/>
                <w:szCs w:val="24"/>
                <w:u w:val="none"/>
                <w:lang w:val="en-US" w:eastAsia="zh-CN" w:bidi="ar"/>
              </w:rPr>
              <w:t>指示系统技术标准》GB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51309</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《建筑机电工程抗震设计规范》GB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50981</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《建筑电气与智能化通用规范》GB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55024</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《建筑节能与可再生能源利用通用规范》GB 55015</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2021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《建筑环境通用规范》CB 55016</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《消防设施通用规范》GB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55036</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《民用建筑设计统一标准》GB 50352</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《民用建筑通用规范》GB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55031</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《建筑防火通用规范》GB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55037</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《湖北省建设工程消防设计审查验收</w:t>
            </w:r>
            <w:r>
              <w:rPr>
                <w:rFonts w:hint="eastAsia" w:cs="宋体"/>
                <w:i w:val="0"/>
                <w:iCs w:val="0"/>
                <w:color w:val="000000"/>
                <w:kern w:val="0"/>
                <w:sz w:val="24"/>
                <w:szCs w:val="24"/>
                <w:u w:val="none"/>
                <w:lang w:val="en-US" w:eastAsia="zh-CN" w:bidi="ar"/>
              </w:rPr>
              <w:t>疑难问题</w:t>
            </w:r>
            <w:r>
              <w:rPr>
                <w:rFonts w:hint="eastAsia" w:ascii="宋体" w:hAnsi="宋体" w:eastAsia="宋体" w:cs="宋体"/>
                <w:i w:val="0"/>
                <w:iCs w:val="0"/>
                <w:color w:val="000000"/>
                <w:kern w:val="0"/>
                <w:sz w:val="24"/>
                <w:szCs w:val="24"/>
                <w:u w:val="none"/>
                <w:lang w:val="en-US" w:eastAsia="zh-CN" w:bidi="ar"/>
              </w:rPr>
              <w:t>技术指南》（202</w:t>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《建筑内部装修设计防火规范》GB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50222</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《民用建筑节能设计标准》JGJ</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262010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《建筑防烟排烟系统技术标准》GB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51251</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2017</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《湖北省建设工程消防设计审查验收疑难问题技术指南》2024年版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《挡烟垂壁》XF5332012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《既有建筑维护与改造通用规范》GB</w:t>
            </w:r>
            <w:r>
              <w:rPr>
                <w:rFonts w:hint="eastAsia"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55022</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2021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7.严格按照财办库〔2023〕52号文件及十财采发〔2025〕97号文件要求，采购和使用符合要求的绿色建材设备。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sz w:val="24"/>
                <w:szCs w:val="24"/>
                <w:lang w:val="en-US" w:eastAsia="zh-CN"/>
              </w:rPr>
              <w:t>（</w:t>
            </w:r>
            <w:r>
              <w:rPr>
                <w:rFonts w:hint="eastAsia" w:cs="宋体"/>
                <w:b/>
                <w:bCs/>
                <w:sz w:val="24"/>
                <w:szCs w:val="24"/>
                <w:lang w:val="en-US" w:eastAsia="zh-CN"/>
              </w:rPr>
              <w:t>供应商</w:t>
            </w:r>
            <w:r>
              <w:rPr>
                <w:rFonts w:hint="eastAsia" w:ascii="宋体" w:hAnsi="宋体" w:eastAsia="宋体" w:cs="宋体"/>
                <w:b/>
                <w:bCs/>
                <w:sz w:val="24"/>
                <w:szCs w:val="24"/>
                <w:lang w:val="en-US" w:eastAsia="zh-CN"/>
              </w:rPr>
              <w:t>须针对以上1-7条要求提供书面承诺函）</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0F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530A1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D6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8B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质量要求</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E8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1.工程质量要求：必须符合现行国家有关工程设计、施工质量验收规范和标准中的合格要求；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2.工程所用材料，必须符合国家节能环保要求；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3.安全生产管理目标要求：合格；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4.环境保护与文明施工管理目标要求：优良。</w:t>
            </w:r>
          </w:p>
          <w:p w14:paraId="355BADF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b/>
                <w:bCs/>
                <w:i w:val="0"/>
                <w:iCs w:val="0"/>
                <w:color w:val="FF0000"/>
                <w:kern w:val="0"/>
                <w:sz w:val="24"/>
                <w:szCs w:val="24"/>
                <w:u w:val="none"/>
                <w:lang w:val="en-US" w:eastAsia="zh-CN" w:bidi="ar"/>
              </w:rPr>
              <w:t>（供应商必须响应）</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17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77C99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3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5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质量保修期</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8C8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缺陷责任期：24个月，缺陷责任期自工程验收合格之日起计算。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工程的质量保修期如下：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1.屋面防水工程、有防水要求的卫生间、房间和外墙面的防渗为5年；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2.装修工程为2年；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3.电气管线、给排水管道、设备安装工程为2年；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4.供热与供冷系统为2个采暖期、供冷期；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5.室外给排水设施、道路等配套工程为2年；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6.其他项目保修期限为2年。</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应安排专人负责项目的质保维修工作，并确保在接到</w:t>
            </w:r>
            <w:r>
              <w:rPr>
                <w:rFonts w:hint="eastAsia" w:cs="宋体"/>
                <w:i w:val="0"/>
                <w:iCs w:val="0"/>
                <w:color w:val="000000"/>
                <w:kern w:val="0"/>
                <w:sz w:val="24"/>
                <w:szCs w:val="24"/>
                <w:u w:val="none"/>
                <w:lang w:val="en-US" w:eastAsia="zh-CN" w:bidi="ar"/>
              </w:rPr>
              <w:t>采购</w:t>
            </w:r>
            <w:r>
              <w:rPr>
                <w:rFonts w:hint="eastAsia" w:ascii="宋体" w:hAnsi="宋体" w:eastAsia="宋体" w:cs="宋体"/>
                <w:i w:val="0"/>
                <w:iCs w:val="0"/>
                <w:color w:val="000000"/>
                <w:kern w:val="0"/>
                <w:sz w:val="24"/>
                <w:szCs w:val="24"/>
                <w:u w:val="none"/>
                <w:lang w:val="en-US" w:eastAsia="zh-CN" w:bidi="ar"/>
              </w:rPr>
              <w:t>人要求处理有关事项的通知后2小时内到达现场，到达现场后随即采取有效的措施解决问题。单次保修事项经历两次（含两次）以上维修，仍不能达到合格标准，</w:t>
            </w:r>
            <w:r>
              <w:rPr>
                <w:rFonts w:hint="eastAsia" w:cs="宋体"/>
                <w:i w:val="0"/>
                <w:iCs w:val="0"/>
                <w:color w:val="000000"/>
                <w:kern w:val="0"/>
                <w:sz w:val="24"/>
                <w:szCs w:val="24"/>
                <w:u w:val="none"/>
                <w:lang w:val="en-US" w:eastAsia="zh-CN" w:bidi="ar"/>
              </w:rPr>
              <w:t>采购</w:t>
            </w:r>
            <w:r>
              <w:rPr>
                <w:rFonts w:hint="eastAsia" w:ascii="宋体" w:hAnsi="宋体" w:eastAsia="宋体" w:cs="宋体"/>
                <w:i w:val="0"/>
                <w:iCs w:val="0"/>
                <w:color w:val="000000"/>
                <w:kern w:val="0"/>
                <w:sz w:val="24"/>
                <w:szCs w:val="24"/>
                <w:u w:val="none"/>
                <w:lang w:val="en-US" w:eastAsia="zh-CN" w:bidi="ar"/>
              </w:rPr>
              <w:t>人有权另行安排维修，由此引起的一切费用和责任由</w:t>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负责，给</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造成其他损失的，</w:t>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应据实赔偿，如因造成用户、第三方人身财产损失的，由</w:t>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承担全部责任。上述情况</w:t>
            </w:r>
            <w:r>
              <w:rPr>
                <w:rFonts w:hint="eastAsia" w:cs="宋体"/>
                <w:i w:val="0"/>
                <w:iCs w:val="0"/>
                <w:color w:val="000000"/>
                <w:kern w:val="0"/>
                <w:sz w:val="24"/>
                <w:szCs w:val="24"/>
                <w:u w:val="none"/>
                <w:lang w:val="en-US" w:eastAsia="zh-CN" w:bidi="ar"/>
              </w:rPr>
              <w:t>供应商</w:t>
            </w:r>
            <w:r>
              <w:rPr>
                <w:rFonts w:hint="eastAsia" w:ascii="宋体" w:hAnsi="宋体" w:eastAsia="宋体" w:cs="宋体"/>
                <w:i w:val="0"/>
                <w:iCs w:val="0"/>
                <w:color w:val="000000"/>
                <w:kern w:val="0"/>
                <w:sz w:val="24"/>
                <w:szCs w:val="24"/>
                <w:u w:val="none"/>
                <w:lang w:val="en-US" w:eastAsia="zh-CN" w:bidi="ar"/>
              </w:rPr>
              <w:t>除承担所有损失外，需另支付维修总费用的20%作为</w:t>
            </w:r>
            <w:r>
              <w:rPr>
                <w:rFonts w:hint="eastAsia" w:cs="宋体"/>
                <w:i w:val="0"/>
                <w:iCs w:val="0"/>
                <w:color w:val="000000"/>
                <w:kern w:val="0"/>
                <w:sz w:val="24"/>
                <w:szCs w:val="24"/>
                <w:u w:val="none"/>
                <w:lang w:val="en-US" w:eastAsia="zh-CN" w:bidi="ar"/>
              </w:rPr>
              <w:t>采购人</w:t>
            </w:r>
            <w:r>
              <w:rPr>
                <w:rFonts w:hint="eastAsia" w:ascii="宋体" w:hAnsi="宋体" w:eastAsia="宋体" w:cs="宋体"/>
                <w:i w:val="0"/>
                <w:iCs w:val="0"/>
                <w:color w:val="000000"/>
                <w:kern w:val="0"/>
                <w:sz w:val="24"/>
                <w:szCs w:val="24"/>
                <w:u w:val="none"/>
                <w:lang w:val="en-US" w:eastAsia="zh-CN" w:bidi="ar"/>
              </w:rPr>
              <w:t>管理费。</w:t>
            </w:r>
          </w:p>
          <w:p w14:paraId="525774E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sz w:val="24"/>
                <w:szCs w:val="24"/>
                <w:lang w:val="en-US" w:eastAsia="zh-CN"/>
              </w:rPr>
              <w:t>（</w:t>
            </w:r>
            <w:r>
              <w:rPr>
                <w:rFonts w:hint="eastAsia" w:cs="宋体"/>
                <w:b/>
                <w:bCs/>
                <w:sz w:val="24"/>
                <w:szCs w:val="24"/>
                <w:lang w:val="en-US" w:eastAsia="zh-CN"/>
              </w:rPr>
              <w:t>供应商</w:t>
            </w:r>
            <w:r>
              <w:rPr>
                <w:rFonts w:hint="eastAsia" w:ascii="宋体" w:hAnsi="宋体" w:eastAsia="宋体" w:cs="宋体"/>
                <w:b/>
                <w:bCs/>
                <w:sz w:val="24"/>
                <w:szCs w:val="24"/>
                <w:lang w:val="en-US" w:eastAsia="zh-CN"/>
              </w:rPr>
              <w:t>须针对以上1-6条要求提供书面承诺函）</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1C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1F326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7B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3B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深化设计</w:t>
            </w:r>
          </w:p>
          <w:p w14:paraId="4DCCB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图纸</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0AB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供应商根据项目的采购需求，提供深化设计图纸，具体内容（需包括以下内容）：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1.增设排烟设施深化设计图纸；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2.设置防火门深化设计图纸；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3.改造封闭楼梯间深化设计图纸。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9C62">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613CF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5A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A0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施工组织方案、施工方法与措施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8FD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供应商根据项目的采购需求，提供施工组织方案、施工方法与措施，具体内容（需包括以下内容）：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1.施工部署、施工现场平面布置；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2.核心工程的施工方案；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3.全场性施工准备工作计划；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4.拟投入的主要物资计划（包括但不限于：主要物资、设备、机械仪器等其他资源计划，投入机械需罗列清单）。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36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4D9C5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EB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9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质量管理体系与措施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61CF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供应商根据项目的采购需求，提供质量管理体系与措施，具体内容</w:t>
            </w:r>
            <w:r>
              <w:rPr>
                <w:rFonts w:hint="eastAsia" w:cs="宋体"/>
                <w:i w:val="0"/>
                <w:iCs w:val="0"/>
                <w:color w:val="000000"/>
                <w:kern w:val="0"/>
                <w:sz w:val="24"/>
                <w:szCs w:val="24"/>
                <w:u w:val="none"/>
                <w:lang w:val="en-US" w:eastAsia="zh-CN" w:bidi="ar"/>
              </w:rPr>
              <w:t>（需包括以下内容）</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1.工程质量内控管理制度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2.质量目标承诺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3.质量管理岗位职责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4.施工过程中的质量管理措施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5.施工质量缺陷惩罚机制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E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3A1C3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30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F3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安全生产管理体系与</w:t>
            </w:r>
          </w:p>
          <w:p w14:paraId="18031B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14F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供应商根据项目的采购需求，提供安全生产管理体系与措施，具体内容（需包括以下内容）：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1.安全生产责任制度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2.安全生产管理组织架构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3.安全生产教育培训措施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4.施工现场安全隔离防护措施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5.施工现场动火管理程序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6.施工现场动电管理程序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7.施工现场防人员物品高空坠落保障措施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8.施工现场防火、防触电保障措施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9.安全事故应急处置预案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93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1A5F0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7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0B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进度管理</w:t>
            </w:r>
          </w:p>
          <w:p w14:paraId="480AD7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84C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供应商根据项目的采购需求，提供进度管理措施，具体内容（需包括以下内容）：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1.进度计划安排及保障措施；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2.项目人员安排。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3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6B3D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8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3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文明施工措施措施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8300">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供应商根据项目的采购需求，提供文明施工措施措施及方案，具体内容（需包括以下内容）：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1.对非施工对象（场地、建筑物、构筑物、设施、设备等）的保护措施；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2.降低噪音措施；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3.垃圾清运措施；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4.扬尘控制措施；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76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09B3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7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16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人员资源配置方案</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DE33">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供应商根据项目的采购需求，提供人员资源配置方案，具体内容（需包括以下内容）：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1.管理人员配置方案；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2.劳动力投入安排与计划；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3.劳动力数量保障措施；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4.劳动力教育培训措施；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76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21F6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9B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9E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服务质量承诺及处罚</w:t>
            </w:r>
          </w:p>
          <w:p w14:paraId="5610A4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措施</w:t>
            </w:r>
          </w:p>
        </w:tc>
        <w:tc>
          <w:tcPr>
            <w:tcW w:w="5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E30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根据项目需求及所投标包提供服务质量承诺及处罚措施，具体内容（需包括以下内容）：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1.施工质量承诺及处罚措施；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2.施工进度保障承诺及处罚措施；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3.安全文明施工承诺及处罚措施；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4.服从采购人协调管理的承诺及处罚措施；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供应商须逐条提供详细的响应内容。</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C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r>
      <w:tr w14:paraId="66E3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42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363A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bookmarkStart w:id="4" w:name="_Toc156490324"/>
            <w:r>
              <w:rPr>
                <w:rFonts w:hint="eastAsia" w:ascii="宋体" w:hAnsi="宋体" w:eastAsia="宋体" w:cs="宋体"/>
                <w:b/>
                <w:color w:val="auto"/>
                <w:sz w:val="24"/>
                <w:szCs w:val="24"/>
                <w:highlight w:val="none"/>
                <w:lang w:val="en-US" w:eastAsia="zh-CN"/>
              </w:rPr>
              <w:t>汇总：技术参数带“</w:t>
            </w:r>
            <w:r>
              <w:rPr>
                <w:rFonts w:hint="eastAsia" w:ascii="宋体" w:hAnsi="宋体" w:eastAsia="宋体" w:cs="宋体"/>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”号的实质性响应指标共计5项，“△”号评审因素共8项。</w:t>
            </w:r>
          </w:p>
        </w:tc>
      </w:tr>
    </w:tbl>
    <w:p w14:paraId="6DF47E5D">
      <w:pPr>
        <w:pStyle w:val="3"/>
        <w:pageBreakBefore w:val="0"/>
        <w:widowControl w:val="0"/>
        <w:numPr>
          <w:ilvl w:val="0"/>
          <w:numId w:val="0"/>
        </w:numPr>
        <w:kinsoku/>
        <w:overflowPunct/>
        <w:topLinePunct w:val="0"/>
        <w:autoSpaceDE/>
        <w:autoSpaceDN/>
        <w:bidi w:val="0"/>
        <w:adjustRightInd/>
        <w:snapToGrid/>
        <w:spacing w:before="0" w:after="0"/>
        <w:ind w:left="420" w:leftChars="0" w:hanging="420" w:firstLineChars="0"/>
        <w:textAlignment w:val="auto"/>
        <w:rPr>
          <w:rFonts w:hint="eastAsia" w:ascii="宋体" w:hAnsi="宋体" w:eastAsia="宋体" w:cs="宋体"/>
          <w:sz w:val="24"/>
          <w:szCs w:val="24"/>
        </w:rPr>
      </w:pPr>
      <w:bookmarkStart w:id="5" w:name="_Toc7770"/>
      <w:r>
        <w:rPr>
          <w:rFonts w:hint="eastAsia" w:ascii="宋体" w:hAnsi="宋体" w:cs="宋体"/>
          <w:b/>
          <w:bCs/>
          <w:kern w:val="2"/>
          <w:sz w:val="24"/>
          <w:szCs w:val="24"/>
          <w:lang w:val="en-US" w:eastAsia="zh-CN" w:bidi="ar-SA"/>
        </w:rPr>
        <w:t>三</w:t>
      </w:r>
      <w:r>
        <w:rPr>
          <w:rFonts w:hint="eastAsia" w:ascii="宋体" w:hAnsi="宋体" w:eastAsia="宋体" w:cs="宋体"/>
          <w:b/>
          <w:bCs/>
          <w:kern w:val="2"/>
          <w:sz w:val="24"/>
          <w:szCs w:val="24"/>
          <w:lang w:val="en-US" w:eastAsia="zh-CN" w:bidi="ar-SA"/>
        </w:rPr>
        <w:t>、</w:t>
      </w:r>
      <w:bookmarkEnd w:id="4"/>
      <w:bookmarkStart w:id="6" w:name="_Toc156490325"/>
      <w:r>
        <w:rPr>
          <w:rFonts w:hint="eastAsia" w:ascii="宋体" w:hAnsi="宋体" w:eastAsia="宋体" w:cs="宋体"/>
          <w:sz w:val="24"/>
          <w:szCs w:val="24"/>
        </w:rPr>
        <w:t>商务要求</w:t>
      </w:r>
      <w:bookmarkEnd w:id="5"/>
      <w:bookmarkEnd w:id="6"/>
    </w:p>
    <w:tbl>
      <w:tblPr>
        <w:tblStyle w:val="4"/>
        <w:tblW w:w="84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2"/>
        <w:gridCol w:w="1050"/>
        <w:gridCol w:w="6015"/>
        <w:gridCol w:w="721"/>
      </w:tblGrid>
      <w:tr w14:paraId="4682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3" w:hRule="atLeast"/>
          <w:tblHeader/>
        </w:trPr>
        <w:tc>
          <w:tcPr>
            <w:tcW w:w="712" w:type="dxa"/>
            <w:shd w:val="clear" w:color="auto" w:fill="auto"/>
            <w:vAlign w:val="center"/>
          </w:tcPr>
          <w:p w14:paraId="21ED4123">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cs="宋体"/>
                <w:b/>
                <w:bCs/>
                <w:i w:val="0"/>
                <w:iCs w:val="0"/>
                <w:color w:val="auto"/>
                <w:kern w:val="0"/>
                <w:sz w:val="24"/>
                <w:szCs w:val="24"/>
                <w:u w:val="none"/>
                <w:lang w:val="en-US" w:eastAsia="zh-CN" w:bidi="ar"/>
              </w:rPr>
              <w:t>序号</w:t>
            </w:r>
          </w:p>
        </w:tc>
        <w:tc>
          <w:tcPr>
            <w:tcW w:w="1050" w:type="dxa"/>
            <w:shd w:val="clear" w:color="auto" w:fill="auto"/>
            <w:vAlign w:val="center"/>
          </w:tcPr>
          <w:p w14:paraId="41B4320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商务</w:t>
            </w:r>
          </w:p>
          <w:p w14:paraId="004E74C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条款</w:t>
            </w:r>
          </w:p>
        </w:tc>
        <w:tc>
          <w:tcPr>
            <w:tcW w:w="6015" w:type="dxa"/>
            <w:shd w:val="clear" w:color="auto" w:fill="auto"/>
            <w:vAlign w:val="center"/>
          </w:tcPr>
          <w:p w14:paraId="72740D4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721" w:type="dxa"/>
            <w:shd w:val="clear" w:color="auto" w:fill="auto"/>
            <w:vAlign w:val="top"/>
          </w:tcPr>
          <w:p w14:paraId="34A59F56">
            <w:pPr>
              <w:keepNext w:val="0"/>
              <w:keepLines w:val="0"/>
              <w:widowControl/>
              <w:suppressLineNumbers w:val="0"/>
              <w:jc w:val="center"/>
              <w:textAlignment w:val="top"/>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条款属性</w:t>
            </w:r>
          </w:p>
        </w:tc>
      </w:tr>
      <w:tr w14:paraId="7702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12" w:type="dxa"/>
            <w:shd w:val="clear" w:color="auto" w:fill="auto"/>
            <w:vAlign w:val="center"/>
          </w:tcPr>
          <w:p w14:paraId="3A44AA2F">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1</w:t>
            </w:r>
          </w:p>
        </w:tc>
        <w:tc>
          <w:tcPr>
            <w:tcW w:w="1050" w:type="dxa"/>
            <w:shd w:val="clear" w:color="auto" w:fill="auto"/>
            <w:vAlign w:val="center"/>
          </w:tcPr>
          <w:p w14:paraId="299432A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企业</w:t>
            </w:r>
          </w:p>
          <w:p w14:paraId="0C44E5E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实力</w:t>
            </w:r>
          </w:p>
        </w:tc>
        <w:tc>
          <w:tcPr>
            <w:tcW w:w="6015" w:type="dxa"/>
            <w:shd w:val="clear" w:color="auto" w:fill="auto"/>
            <w:vAlign w:val="center"/>
          </w:tcPr>
          <w:p w14:paraId="12BC9BB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供应商具有有效的质量管理体系认证证书、环境管理体系认证证书、职业健康安全管理体系认证证书</w:t>
            </w:r>
          </w:p>
        </w:tc>
        <w:tc>
          <w:tcPr>
            <w:tcW w:w="721" w:type="dxa"/>
            <w:shd w:val="clear" w:color="auto" w:fill="auto"/>
            <w:vAlign w:val="center"/>
          </w:tcPr>
          <w:p w14:paraId="065E77A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067F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12" w:type="dxa"/>
            <w:shd w:val="clear" w:color="auto" w:fill="auto"/>
            <w:vAlign w:val="center"/>
          </w:tcPr>
          <w:p w14:paraId="72933BB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2</w:t>
            </w:r>
          </w:p>
        </w:tc>
        <w:tc>
          <w:tcPr>
            <w:tcW w:w="1050" w:type="dxa"/>
            <w:shd w:val="clear" w:color="auto" w:fill="auto"/>
            <w:vAlign w:val="center"/>
          </w:tcPr>
          <w:p w14:paraId="4750C82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类似</w:t>
            </w:r>
          </w:p>
          <w:p w14:paraId="16C0F7A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业绩</w:t>
            </w:r>
          </w:p>
        </w:tc>
        <w:tc>
          <w:tcPr>
            <w:tcW w:w="6015" w:type="dxa"/>
            <w:shd w:val="clear" w:color="auto" w:fill="auto"/>
            <w:vAlign w:val="center"/>
          </w:tcPr>
          <w:p w14:paraId="5839726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供应商近三年（从磋商截止日往前推算，以合同签订时间为准）承接过类似项目业绩（含工程总承包及施工总承包）。</w:t>
            </w:r>
          </w:p>
        </w:tc>
        <w:tc>
          <w:tcPr>
            <w:tcW w:w="721" w:type="dxa"/>
            <w:shd w:val="clear" w:color="auto" w:fill="auto"/>
            <w:vAlign w:val="center"/>
          </w:tcPr>
          <w:p w14:paraId="3AAA613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48E2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9" w:hRule="atLeast"/>
        </w:trPr>
        <w:tc>
          <w:tcPr>
            <w:tcW w:w="712" w:type="dxa"/>
            <w:shd w:val="clear" w:color="auto" w:fill="auto"/>
            <w:vAlign w:val="center"/>
          </w:tcPr>
          <w:p w14:paraId="004099C4">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3</w:t>
            </w:r>
          </w:p>
        </w:tc>
        <w:tc>
          <w:tcPr>
            <w:tcW w:w="1050" w:type="dxa"/>
            <w:shd w:val="clear" w:color="auto" w:fill="auto"/>
            <w:vAlign w:val="center"/>
          </w:tcPr>
          <w:p w14:paraId="4E73306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项目经理能力</w:t>
            </w:r>
          </w:p>
        </w:tc>
        <w:tc>
          <w:tcPr>
            <w:tcW w:w="6015" w:type="dxa"/>
            <w:shd w:val="clear" w:color="auto" w:fill="auto"/>
            <w:vAlign w:val="center"/>
          </w:tcPr>
          <w:p w14:paraId="50A80DC5">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近三年（从磋商截止日往前推算，以合同签订时间为准）以项目经理身份主持过类似项目业绩（含工程总承包及施工总承包）。</w:t>
            </w:r>
          </w:p>
        </w:tc>
        <w:tc>
          <w:tcPr>
            <w:tcW w:w="721" w:type="dxa"/>
            <w:shd w:val="clear" w:color="auto" w:fill="auto"/>
            <w:vAlign w:val="center"/>
          </w:tcPr>
          <w:p w14:paraId="42D35FC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1448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trPr>
        <w:tc>
          <w:tcPr>
            <w:tcW w:w="712" w:type="dxa"/>
            <w:shd w:val="clear" w:color="auto" w:fill="auto"/>
            <w:vAlign w:val="center"/>
          </w:tcPr>
          <w:p w14:paraId="27D764A1">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4</w:t>
            </w:r>
          </w:p>
        </w:tc>
        <w:tc>
          <w:tcPr>
            <w:tcW w:w="1050" w:type="dxa"/>
            <w:shd w:val="clear" w:color="auto" w:fill="auto"/>
            <w:vAlign w:val="center"/>
          </w:tcPr>
          <w:p w14:paraId="1C0D247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拟派</w:t>
            </w:r>
          </w:p>
          <w:p w14:paraId="2EAC16C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团队</w:t>
            </w:r>
          </w:p>
        </w:tc>
        <w:tc>
          <w:tcPr>
            <w:tcW w:w="6015" w:type="dxa"/>
            <w:shd w:val="clear" w:color="auto" w:fill="auto"/>
            <w:vAlign w:val="center"/>
          </w:tcPr>
          <w:p w14:paraId="37EE4045">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1.拟投入项目管理人员（含项目经理）中至少有一人具备本科及以上学历；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2.拟投入项目管理人</w:t>
            </w:r>
            <w:r>
              <w:rPr>
                <w:rFonts w:hint="eastAsia" w:ascii="宋体" w:hAnsi="宋体" w:eastAsia="宋体" w:cs="宋体"/>
                <w:i w:val="0"/>
                <w:iCs w:val="0"/>
                <w:color w:val="auto"/>
                <w:kern w:val="0"/>
                <w:sz w:val="24"/>
                <w:szCs w:val="24"/>
                <w:highlight w:val="none"/>
                <w:u w:val="none"/>
                <w:lang w:val="en-US" w:eastAsia="zh-CN" w:bidi="ar"/>
              </w:rPr>
              <w:t>员中(不含项目经理，如项目经理和施工负责人以及设计负责人为同一人则对应也不包含在其中)至少有一人具备工程相关专业中级以上技术职称或具有工程类注册执业资格。</w:t>
            </w:r>
          </w:p>
        </w:tc>
        <w:tc>
          <w:tcPr>
            <w:tcW w:w="721" w:type="dxa"/>
            <w:shd w:val="clear" w:color="auto" w:fill="auto"/>
            <w:vAlign w:val="center"/>
          </w:tcPr>
          <w:p w14:paraId="6DF4057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2F040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6" w:hRule="atLeast"/>
        </w:trPr>
        <w:tc>
          <w:tcPr>
            <w:tcW w:w="712" w:type="dxa"/>
            <w:vMerge w:val="restart"/>
            <w:shd w:val="clear" w:color="auto" w:fill="auto"/>
            <w:vAlign w:val="center"/>
          </w:tcPr>
          <w:p w14:paraId="02DAC085">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5</w:t>
            </w:r>
          </w:p>
        </w:tc>
        <w:tc>
          <w:tcPr>
            <w:tcW w:w="1050" w:type="dxa"/>
            <w:shd w:val="clear" w:color="auto" w:fill="auto"/>
            <w:vAlign w:val="center"/>
          </w:tcPr>
          <w:p w14:paraId="543273C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报价及费用</w:t>
            </w:r>
          </w:p>
          <w:p w14:paraId="7FA89AE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要求</w:t>
            </w:r>
          </w:p>
        </w:tc>
        <w:tc>
          <w:tcPr>
            <w:tcW w:w="6015" w:type="dxa"/>
            <w:shd w:val="clear" w:color="auto" w:fill="auto"/>
            <w:vAlign w:val="center"/>
          </w:tcPr>
          <w:p w14:paraId="29BC4F92">
            <w:pPr>
              <w:keepNext w:val="0"/>
              <w:keepLines w:val="0"/>
              <w:widowControl/>
              <w:numPr>
                <w:ilvl w:val="0"/>
                <w:numId w:val="0"/>
              </w:numPr>
              <w:suppressLineNumbers w:val="0"/>
              <w:jc w:val="left"/>
              <w:textAlignment w:val="center"/>
              <w:rPr>
                <w:rStyle w:val="10"/>
                <w:rFonts w:hint="eastAsia" w:ascii="宋体" w:hAnsi="宋体" w:eastAsia="宋体" w:cs="宋体"/>
                <w:color w:val="auto"/>
                <w:sz w:val="24"/>
                <w:szCs w:val="24"/>
                <w:lang w:val="en-US" w:eastAsia="zh-CN" w:bidi="ar"/>
              </w:rPr>
            </w:pPr>
            <w:r>
              <w:rPr>
                <w:rFonts w:hint="eastAsia" w:ascii="宋体" w:hAnsi="宋体" w:eastAsia="宋体" w:cs="宋体"/>
                <w:i w:val="0"/>
                <w:iCs w:val="0"/>
                <w:color w:val="auto"/>
                <w:kern w:val="2"/>
                <w:sz w:val="24"/>
                <w:szCs w:val="24"/>
                <w:lang w:val="en-US" w:eastAsia="zh-CN" w:bidi="ar"/>
              </w:rPr>
              <w:t>1.</w:t>
            </w:r>
            <w:r>
              <w:rPr>
                <w:rFonts w:hint="eastAsia" w:ascii="宋体" w:hAnsi="宋体" w:eastAsia="宋体" w:cs="宋体"/>
                <w:i w:val="0"/>
                <w:iCs w:val="0"/>
                <w:color w:val="auto"/>
                <w:kern w:val="0"/>
                <w:sz w:val="24"/>
                <w:szCs w:val="24"/>
                <w:u w:val="none"/>
                <w:lang w:val="en-US" w:eastAsia="zh-CN" w:bidi="ar"/>
              </w:rPr>
              <w:t>报价方式：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w:t>
            </w:r>
            <w:r>
              <w:rPr>
                <w:rFonts w:hint="eastAsia" w:cs="宋体"/>
                <w:i w:val="0"/>
                <w:iCs w:val="0"/>
                <w:color w:val="auto"/>
                <w:kern w:val="0"/>
                <w:sz w:val="24"/>
                <w:szCs w:val="24"/>
                <w:u w:val="none"/>
                <w:lang w:val="en-US" w:eastAsia="zh-CN" w:bidi="ar"/>
              </w:rPr>
              <w:t>人民币形式，</w:t>
            </w:r>
            <w:r>
              <w:rPr>
                <w:rFonts w:hint="eastAsia" w:ascii="宋体" w:hAnsi="宋体" w:eastAsia="宋体" w:cs="宋体"/>
                <w:i w:val="0"/>
                <w:iCs w:val="0"/>
                <w:color w:val="auto"/>
                <w:kern w:val="0"/>
                <w:sz w:val="24"/>
                <w:szCs w:val="24"/>
                <w:u w:val="none"/>
                <w:lang w:val="en-US" w:eastAsia="zh-CN" w:bidi="ar"/>
              </w:rPr>
              <w:t>报总价</w:t>
            </w:r>
            <w:r>
              <w:rPr>
                <w:rFonts w:hint="eastAsia" w:cs="宋体"/>
                <w:i w:val="0"/>
                <w:iCs w:val="0"/>
                <w:color w:val="auto"/>
                <w:kern w:val="0"/>
                <w:sz w:val="24"/>
                <w:szCs w:val="24"/>
                <w:u w:val="none"/>
                <w:lang w:val="en-US" w:eastAsia="zh-CN" w:bidi="ar"/>
              </w:rPr>
              <w:t>。</w:t>
            </w:r>
            <w:r>
              <w:rPr>
                <w:rStyle w:val="8"/>
                <w:rFonts w:hint="eastAsia" w:ascii="宋体" w:hAnsi="宋体" w:eastAsia="宋体" w:cs="宋体"/>
                <w:color w:val="auto"/>
                <w:sz w:val="24"/>
                <w:szCs w:val="24"/>
                <w:lang w:val="en-US" w:eastAsia="zh-CN" w:bidi="ar"/>
              </w:rPr>
              <w:t>总报价=设计费报价+建筑安装工程费报价+暂估价+暂列金。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w:t>
            </w:r>
            <w:r>
              <w:rPr>
                <w:rStyle w:val="10"/>
                <w:rFonts w:hint="eastAsia" w:ascii="宋体" w:hAnsi="宋体" w:eastAsia="宋体" w:cs="宋体"/>
                <w:color w:val="auto"/>
                <w:sz w:val="24"/>
                <w:szCs w:val="24"/>
                <w:lang w:val="en-US" w:eastAsia="zh-CN" w:bidi="ar"/>
              </w:rPr>
              <w:t>供应商须根据采购内容中的</w:t>
            </w:r>
            <w:r>
              <w:rPr>
                <w:rStyle w:val="10"/>
                <w:rFonts w:hint="eastAsia" w:ascii="宋体" w:hAnsi="宋体" w:eastAsia="宋体" w:cs="宋体"/>
                <w:b/>
                <w:bCs/>
                <w:color w:val="auto"/>
                <w:sz w:val="24"/>
                <w:szCs w:val="24"/>
                <w:lang w:val="en-US" w:eastAsia="zh-CN" w:bidi="ar"/>
              </w:rPr>
              <w:t>《分项限价表》的内容</w:t>
            </w:r>
            <w:r>
              <w:rPr>
                <w:rStyle w:val="10"/>
                <w:rFonts w:hint="eastAsia" w:ascii="宋体" w:hAnsi="宋体" w:eastAsia="宋体" w:cs="宋体"/>
                <w:color w:val="auto"/>
                <w:sz w:val="24"/>
                <w:szCs w:val="24"/>
                <w:lang w:val="en-US" w:eastAsia="zh-CN" w:bidi="ar"/>
              </w:rPr>
              <w:t>提供分项报价表，且不得有缺项漏项，否则视为无效报价。</w:t>
            </w:r>
          </w:p>
          <w:p w14:paraId="67C572F9">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4"/>
                <w:szCs w:val="24"/>
                <w:u w:val="none"/>
              </w:rPr>
            </w:pPr>
            <w:r>
              <w:rPr>
                <w:rStyle w:val="10"/>
                <w:rFonts w:hint="eastAsia" w:cs="宋体"/>
                <w:color w:val="auto"/>
                <w:sz w:val="24"/>
                <w:szCs w:val="24"/>
                <w:lang w:val="en-US" w:eastAsia="zh-CN" w:bidi="ar"/>
              </w:rPr>
              <w:t>（3）</w:t>
            </w:r>
            <w:r>
              <w:rPr>
                <w:rStyle w:val="10"/>
                <w:rFonts w:hint="eastAsia" w:ascii="宋体" w:hAnsi="宋体" w:eastAsia="宋体" w:cs="宋体"/>
                <w:color w:val="auto"/>
                <w:sz w:val="24"/>
                <w:szCs w:val="24"/>
                <w:lang w:val="en-US" w:eastAsia="zh-CN" w:bidi="ar"/>
              </w:rPr>
              <w:t>供应商须根据采购人提供的初步设计方案图纸、工程量清单（仅供参考，具体以成交供应商深化且经采购人确认的正式版施工图计算工程量为准）进行报价</w:t>
            </w:r>
            <w:r>
              <w:rPr>
                <w:rStyle w:val="10"/>
                <w:rFonts w:hint="eastAsia" w:cs="宋体"/>
                <w:color w:val="auto"/>
                <w:sz w:val="24"/>
                <w:szCs w:val="24"/>
                <w:lang w:val="en-US" w:eastAsia="zh-CN" w:bidi="ar"/>
              </w:rPr>
              <w:t>。</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2.供应商报价时必须考虑本工程的实际情况，对完成工程内容可能涉及的设计费、人工费、材料费、机械费、施工安装费、安全文明措施费、扬尘防治增加费、垃圾清运、管理费、利润、税费、风险、质量保修费及办理与本项目施工相关的各种手续、验收等完成本项目所需的所有费用等统筹考虑，报价应包含以上全部内容。</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3.合同价格形式：</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本项目“签约合同价（成交价）”为项目结算价的限额，即审计审定的总承包结算价不得超过“签约合同价”。其中：</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（1）设计费为固定价格；</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（2）建筑安装工程</w:t>
            </w:r>
            <w:r>
              <w:rPr>
                <w:rStyle w:val="10"/>
                <w:rFonts w:hint="eastAsia" w:ascii="宋体" w:hAnsi="宋体" w:eastAsia="宋体" w:cs="宋体"/>
                <w:color w:val="auto"/>
                <w:sz w:val="24"/>
                <w:szCs w:val="24"/>
                <w:highlight w:val="none"/>
                <w:lang w:val="en-US" w:eastAsia="zh-CN" w:bidi="ar"/>
              </w:rPr>
              <w:t>费（暂估价、暂列金），</w:t>
            </w:r>
            <w:r>
              <w:rPr>
                <w:rStyle w:val="10"/>
                <w:rFonts w:hint="eastAsia" w:ascii="宋体" w:hAnsi="宋体" w:eastAsia="宋体" w:cs="宋体"/>
                <w:color w:val="auto"/>
                <w:sz w:val="24"/>
                <w:szCs w:val="24"/>
                <w:lang w:val="en-US" w:eastAsia="zh-CN" w:bidi="ar"/>
              </w:rPr>
              <w:t>根据实际完成的内容、工程量、以及经确认的结算资料，按以下方式计算：①执行：《建设工程工程量清单计价规范》(GB50500-2024)， 鄂建办〔2024〕27号《关于发布&lt;湖北省房屋建筑与装饰工程消耗量定额及全费用基价表&gt;等8项定额的通知》：《湖北省房屋建筑与装饰工程消耗量定额及全费用基价表》《湖北省通用安装工程消耗量定额及全费用基价表》《湖北省建设工程公共专业消耗量定额及全费用基价表》《湖北省市政工程消耗量定额及全费用基价表》《湖北省园林绿化工程消耗量定额及全费用基价表》《湖北省装配式建筑工程消耗量定额及全费用基价表》《湖北省施工机具使用费定额》《湖北省建筑安装工程费用定额》，</w:t>
            </w:r>
            <w:r>
              <w:rPr>
                <w:rStyle w:val="11"/>
                <w:rFonts w:hint="eastAsia" w:ascii="宋体" w:hAnsi="宋体" w:eastAsia="宋体" w:cs="宋体"/>
                <w:color w:val="auto"/>
                <w:sz w:val="24"/>
                <w:szCs w:val="24"/>
                <w:lang w:val="en-US" w:eastAsia="zh-CN" w:bidi="ar"/>
              </w:rPr>
              <w:t>厅字〔2019〕637号</w:t>
            </w:r>
            <w:r>
              <w:rPr>
                <w:rStyle w:val="10"/>
                <w:rFonts w:hint="eastAsia" w:ascii="宋体" w:hAnsi="宋体" w:eastAsia="宋体" w:cs="宋体"/>
                <w:color w:val="auto"/>
                <w:sz w:val="24"/>
                <w:szCs w:val="24"/>
                <w:lang w:val="en-US" w:eastAsia="zh-CN" w:bidi="ar"/>
              </w:rPr>
              <w:t>《湖北省房屋修缮工程消耗量定额及全费用基价表》，鄂建办〔2019〕93号《关于调整湖北省建设工程计价依据的通知》，厅头〔2021〕2263号《关于调整我省现行建设工程计价依据定额人工单价的通知》等；②材料价格执行施工同期《十堰建设工程造价信息》综合信息价，综合信息价缺价的通过市场调查等方式取得有合法依据的市场价格；③计日工执行厅头〔2021〕2263号《关于调整我省现行建设工程计价依据定额人工单价的通知》，仅计取税金后单独列项计算；④按以上标准计算出的建筑安装工程费，按投标下浮率进行优惠下浮。</w:t>
            </w:r>
          </w:p>
        </w:tc>
        <w:tc>
          <w:tcPr>
            <w:tcW w:w="721" w:type="dxa"/>
            <w:shd w:val="clear" w:color="auto" w:fill="auto"/>
            <w:vAlign w:val="center"/>
          </w:tcPr>
          <w:p w14:paraId="48E956E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768F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4" w:hRule="atLeast"/>
        </w:trPr>
        <w:tc>
          <w:tcPr>
            <w:tcW w:w="712" w:type="dxa"/>
            <w:vMerge w:val="continue"/>
            <w:shd w:val="clear" w:color="auto" w:fill="auto"/>
            <w:vAlign w:val="center"/>
          </w:tcPr>
          <w:p w14:paraId="2DCAEA9C">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p>
        </w:tc>
        <w:tc>
          <w:tcPr>
            <w:tcW w:w="1050" w:type="dxa"/>
            <w:shd w:val="clear" w:color="auto" w:fill="auto"/>
            <w:vAlign w:val="center"/>
          </w:tcPr>
          <w:p w14:paraId="04A4330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报价</w:t>
            </w:r>
          </w:p>
          <w:p w14:paraId="0F601BBF">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依据</w:t>
            </w:r>
          </w:p>
        </w:tc>
        <w:tc>
          <w:tcPr>
            <w:tcW w:w="6015" w:type="dxa"/>
            <w:shd w:val="clear" w:color="auto" w:fill="auto"/>
            <w:vAlign w:val="top"/>
          </w:tcPr>
          <w:p w14:paraId="7E322860">
            <w:pPr>
              <w:keepNext w:val="0"/>
              <w:keepLines w:val="0"/>
              <w:widowControl/>
              <w:suppressLineNumbers w:val="0"/>
              <w:jc w:val="both"/>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鄂建办〔2018〕27号《关于发布&lt;湖北省房屋建筑与装饰工程消耗量定额及全费用基价表&gt;等8项定额的通知》：《湖北省房屋建筑与装饰工程消耗量定额及全费用基价表》《湖北省通用安装工程消耗量定额及全费用基价表》《湖北省建设工程公共专业消耗量定额及全费用基价表》《湖北省市政工程消耗量定额及全费用基价表》《湖北省园林绿化工程消耗量定额及全费用基价表》《湖北省装配式建筑工程消耗量定额及全费用基价表》《湖北省施工机具使用费定额》《湖北省建筑安装工程费用定额》，</w:t>
            </w:r>
            <w:r>
              <w:rPr>
                <w:rStyle w:val="11"/>
                <w:rFonts w:hint="eastAsia" w:ascii="宋体" w:hAnsi="宋体" w:eastAsia="宋体" w:cs="宋体"/>
                <w:color w:val="auto"/>
                <w:sz w:val="24"/>
                <w:szCs w:val="24"/>
                <w:lang w:val="en-US" w:eastAsia="zh-CN" w:bidi="ar"/>
              </w:rPr>
              <w:t>厅字〔2019〕637号</w:t>
            </w:r>
            <w:r>
              <w:rPr>
                <w:rStyle w:val="10"/>
                <w:rFonts w:hint="eastAsia" w:ascii="宋体" w:hAnsi="宋体" w:eastAsia="宋体" w:cs="宋体"/>
                <w:color w:val="auto"/>
                <w:sz w:val="24"/>
                <w:szCs w:val="24"/>
                <w:lang w:val="en-US" w:eastAsia="zh-CN" w:bidi="ar"/>
              </w:rPr>
              <w:t>《湖北省房屋修缮工程消耗量定额及全费用基价表》，鄂建办〔2019〕93号《关于调整湖北省建设工程计价依据的通知》，厅头〔2021〕2263号《关于调整我省现行建设工程计价依据定额人工单价的通知》等。</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2.《十堰建设工程造价信息》综合信息价，综合信息价缺价的通过市场调查等方式取得有合法依据的市场价格。</w:t>
            </w:r>
          </w:p>
        </w:tc>
        <w:tc>
          <w:tcPr>
            <w:tcW w:w="721" w:type="dxa"/>
            <w:shd w:val="clear" w:color="auto" w:fill="auto"/>
            <w:vAlign w:val="center"/>
          </w:tcPr>
          <w:p w14:paraId="31296418">
            <w:pPr>
              <w:jc w:val="center"/>
              <w:rPr>
                <w:rFonts w:hint="eastAsia" w:ascii="宋体" w:hAnsi="宋体" w:eastAsia="宋体" w:cs="宋体"/>
                <w:b/>
                <w:bCs/>
                <w:i w:val="0"/>
                <w:iCs w:val="0"/>
                <w:color w:val="auto"/>
                <w:sz w:val="24"/>
                <w:szCs w:val="24"/>
                <w:u w:val="none"/>
              </w:rPr>
            </w:pPr>
          </w:p>
        </w:tc>
      </w:tr>
      <w:tr w14:paraId="48DC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8" w:hRule="atLeast"/>
        </w:trPr>
        <w:tc>
          <w:tcPr>
            <w:tcW w:w="712" w:type="dxa"/>
            <w:shd w:val="clear" w:color="auto" w:fill="auto"/>
            <w:vAlign w:val="center"/>
          </w:tcPr>
          <w:p w14:paraId="27A5DC17">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6</w:t>
            </w:r>
          </w:p>
        </w:tc>
        <w:tc>
          <w:tcPr>
            <w:tcW w:w="1050" w:type="dxa"/>
            <w:shd w:val="clear" w:color="auto" w:fill="auto"/>
            <w:vAlign w:val="center"/>
          </w:tcPr>
          <w:p w14:paraId="1839001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验收</w:t>
            </w:r>
          </w:p>
          <w:p w14:paraId="2C65209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方法及</w:t>
            </w:r>
          </w:p>
          <w:p w14:paraId="145E200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方案</w:t>
            </w:r>
          </w:p>
        </w:tc>
        <w:tc>
          <w:tcPr>
            <w:tcW w:w="6015" w:type="dxa"/>
            <w:shd w:val="clear" w:color="auto" w:fill="auto"/>
            <w:noWrap/>
            <w:vAlign w:val="center"/>
          </w:tcPr>
          <w:p w14:paraId="55A8FC51">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学校组织验收小组按照合同规定进行验收。</w:t>
            </w:r>
          </w:p>
        </w:tc>
        <w:tc>
          <w:tcPr>
            <w:tcW w:w="721" w:type="dxa"/>
            <w:shd w:val="clear" w:color="auto" w:fill="auto"/>
            <w:vAlign w:val="center"/>
          </w:tcPr>
          <w:p w14:paraId="78047A3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w:t>
            </w:r>
          </w:p>
        </w:tc>
      </w:tr>
      <w:tr w14:paraId="38B1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9" w:hRule="atLeast"/>
        </w:trPr>
        <w:tc>
          <w:tcPr>
            <w:tcW w:w="712" w:type="dxa"/>
            <w:shd w:val="clear" w:color="auto" w:fill="auto"/>
            <w:vAlign w:val="center"/>
          </w:tcPr>
          <w:p w14:paraId="6AF2F900">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7</w:t>
            </w:r>
          </w:p>
        </w:tc>
        <w:tc>
          <w:tcPr>
            <w:tcW w:w="1050" w:type="dxa"/>
            <w:shd w:val="clear" w:color="auto" w:fill="auto"/>
            <w:vAlign w:val="center"/>
          </w:tcPr>
          <w:p w14:paraId="0BCEEC2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验收</w:t>
            </w:r>
          </w:p>
          <w:p w14:paraId="1D94E7A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标准</w:t>
            </w:r>
          </w:p>
        </w:tc>
        <w:tc>
          <w:tcPr>
            <w:tcW w:w="6015" w:type="dxa"/>
            <w:shd w:val="clear" w:color="auto" w:fill="auto"/>
            <w:noWrap/>
            <w:vAlign w:val="center"/>
          </w:tcPr>
          <w:p w14:paraId="4956376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国家现行相关设计、施工及验收规范。</w:t>
            </w:r>
          </w:p>
        </w:tc>
        <w:tc>
          <w:tcPr>
            <w:tcW w:w="721" w:type="dxa"/>
            <w:shd w:val="clear" w:color="auto" w:fill="auto"/>
            <w:vAlign w:val="center"/>
          </w:tcPr>
          <w:p w14:paraId="4E146C1F">
            <w:pPr>
              <w:jc w:val="center"/>
              <w:rPr>
                <w:rFonts w:hint="eastAsia" w:ascii="宋体" w:hAnsi="宋体" w:eastAsia="宋体" w:cs="宋体"/>
                <w:b/>
                <w:bCs/>
                <w:i w:val="0"/>
                <w:iCs w:val="0"/>
                <w:color w:val="auto"/>
                <w:sz w:val="24"/>
                <w:szCs w:val="24"/>
                <w:u w:val="none"/>
              </w:rPr>
            </w:pPr>
          </w:p>
        </w:tc>
      </w:tr>
      <w:tr w14:paraId="2C75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88" w:hRule="atLeast"/>
        </w:trPr>
        <w:tc>
          <w:tcPr>
            <w:tcW w:w="712" w:type="dxa"/>
            <w:shd w:val="clear" w:color="auto" w:fill="auto"/>
            <w:vAlign w:val="center"/>
          </w:tcPr>
          <w:p w14:paraId="06B515A6">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8</w:t>
            </w:r>
          </w:p>
        </w:tc>
        <w:tc>
          <w:tcPr>
            <w:tcW w:w="1050" w:type="dxa"/>
            <w:shd w:val="clear" w:color="auto" w:fill="auto"/>
            <w:vAlign w:val="center"/>
          </w:tcPr>
          <w:p w14:paraId="790010E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付款</w:t>
            </w:r>
          </w:p>
          <w:p w14:paraId="10AB25D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方式</w:t>
            </w:r>
          </w:p>
        </w:tc>
        <w:tc>
          <w:tcPr>
            <w:tcW w:w="6015" w:type="dxa"/>
            <w:shd w:val="clear" w:color="auto" w:fill="auto"/>
            <w:vAlign w:val="center"/>
          </w:tcPr>
          <w:p w14:paraId="7CABE29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项目竣工验收合格后60日内，</w:t>
            </w:r>
            <w:r>
              <w:rPr>
                <w:rFonts w:hint="eastAsia"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向</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支付至“签约合同价”的70%；工程竣工结算审计完成后60日内，</w:t>
            </w:r>
            <w:r>
              <w:rPr>
                <w:rFonts w:hint="eastAsia"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向</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支付至“结算审定价”的98.5%；预留“结算审定价”的1.5%为工程质保金，在工程质保期满后60日内无息一次性付清。</w:t>
            </w:r>
          </w:p>
        </w:tc>
        <w:tc>
          <w:tcPr>
            <w:tcW w:w="721" w:type="dxa"/>
            <w:shd w:val="clear" w:color="auto" w:fill="auto"/>
            <w:vAlign w:val="center"/>
          </w:tcPr>
          <w:p w14:paraId="01839B13">
            <w:pPr>
              <w:jc w:val="center"/>
              <w:rPr>
                <w:rFonts w:hint="eastAsia" w:ascii="宋体" w:hAnsi="宋体" w:eastAsia="宋体" w:cs="宋体"/>
                <w:b/>
                <w:bCs/>
                <w:i w:val="0"/>
                <w:iCs w:val="0"/>
                <w:color w:val="auto"/>
                <w:sz w:val="24"/>
                <w:szCs w:val="24"/>
                <w:u w:val="none"/>
              </w:rPr>
            </w:pPr>
          </w:p>
        </w:tc>
      </w:tr>
      <w:tr w14:paraId="00DA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1" w:hRule="atLeast"/>
        </w:trPr>
        <w:tc>
          <w:tcPr>
            <w:tcW w:w="712" w:type="dxa"/>
            <w:shd w:val="clear" w:color="auto" w:fill="auto"/>
            <w:vAlign w:val="center"/>
          </w:tcPr>
          <w:p w14:paraId="16E822A6">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9</w:t>
            </w:r>
          </w:p>
        </w:tc>
        <w:tc>
          <w:tcPr>
            <w:tcW w:w="1050" w:type="dxa"/>
            <w:shd w:val="clear" w:color="auto" w:fill="auto"/>
            <w:vAlign w:val="center"/>
          </w:tcPr>
          <w:p w14:paraId="7BF67F6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工程量增减调整方法</w:t>
            </w:r>
          </w:p>
        </w:tc>
        <w:tc>
          <w:tcPr>
            <w:tcW w:w="6015" w:type="dxa"/>
            <w:shd w:val="clear" w:color="auto" w:fill="auto"/>
            <w:vAlign w:val="center"/>
          </w:tcPr>
          <w:p w14:paraId="45437C5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计量计价执行：《建设工程工程量清单计价规范》(GB50500-2013)，鄂建办〔2018〕27号《关于发布&lt;湖北省房屋建筑与装饰工程消耗量定额及全费用基价表&gt;等8项定额的通知》：《湖北省房屋建筑与装饰工程消耗量定额及全费用基价表》《湖北省通用安装工程消耗量定额及全费用基价表》《湖北省建设工程公共专业消耗量定额及全费用基价表》《湖北省市政工程消耗量定额及全费用基价表》《湖北省园林绿化工程消耗量定额及全费用基价表》《湖北省装配式建筑工程消耗量定额及全费用基价表》《湖北省施工机具使用费定额》《湖北省建筑安装工程费用定额》，</w:t>
            </w:r>
            <w:r>
              <w:rPr>
                <w:rStyle w:val="11"/>
                <w:rFonts w:hint="eastAsia" w:ascii="宋体" w:hAnsi="宋体" w:eastAsia="宋体" w:cs="宋体"/>
                <w:color w:val="auto"/>
                <w:sz w:val="24"/>
                <w:szCs w:val="24"/>
                <w:lang w:val="en-US" w:eastAsia="zh-CN" w:bidi="ar"/>
              </w:rPr>
              <w:t>厅字〔2019〕637号</w:t>
            </w:r>
            <w:r>
              <w:rPr>
                <w:rStyle w:val="10"/>
                <w:rFonts w:hint="eastAsia" w:ascii="宋体" w:hAnsi="宋体" w:eastAsia="宋体" w:cs="宋体"/>
                <w:color w:val="auto"/>
                <w:sz w:val="24"/>
                <w:szCs w:val="24"/>
                <w:lang w:val="en-US" w:eastAsia="zh-CN" w:bidi="ar"/>
              </w:rPr>
              <w:t>《湖北省房屋修缮工程消耗量定额及全费用基价表》，鄂建办〔2019〕93号《关于调整湖北省建设工程计价依据的通知》，厅头〔2021〕2263号《关于调整我省现行建设工程计价依据定额人工单价的通知》等。</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2.材料价格执行施工同期《十堰建设工程造价信息》综合信息价，综合信息价缺价的通过市场调查等方式取得有合法依据的市场价格。</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3.计日工执行厅头〔2021〕2263号《关于调整我省现行建设工程计价依据定额人工单价的通知》，仅计取税金后单独列项计算。</w:t>
            </w:r>
            <w:r>
              <w:rPr>
                <w:rStyle w:val="10"/>
                <w:rFonts w:hint="eastAsia" w:ascii="宋体" w:hAnsi="宋体" w:eastAsia="宋体" w:cs="宋体"/>
                <w:color w:val="auto"/>
                <w:sz w:val="24"/>
                <w:szCs w:val="24"/>
                <w:lang w:val="en-US" w:eastAsia="zh-CN" w:bidi="ar"/>
              </w:rPr>
              <w:br w:type="textWrapping"/>
            </w:r>
            <w:r>
              <w:rPr>
                <w:rStyle w:val="10"/>
                <w:rFonts w:hint="eastAsia" w:ascii="宋体" w:hAnsi="宋体" w:eastAsia="宋体" w:cs="宋体"/>
                <w:color w:val="auto"/>
                <w:sz w:val="24"/>
                <w:szCs w:val="24"/>
                <w:lang w:val="en-US" w:eastAsia="zh-CN" w:bidi="ar"/>
              </w:rPr>
              <w:t>4.按以上标准计算出的建筑安装工程费，按投标下浮率进行优惠下浮。</w:t>
            </w:r>
          </w:p>
        </w:tc>
        <w:tc>
          <w:tcPr>
            <w:tcW w:w="721" w:type="dxa"/>
            <w:shd w:val="clear" w:color="auto" w:fill="auto"/>
            <w:vAlign w:val="center"/>
          </w:tcPr>
          <w:p w14:paraId="270719C3">
            <w:pPr>
              <w:jc w:val="center"/>
              <w:rPr>
                <w:rFonts w:hint="eastAsia" w:ascii="宋体" w:hAnsi="宋体" w:eastAsia="宋体" w:cs="宋体"/>
                <w:b/>
                <w:bCs/>
                <w:i w:val="0"/>
                <w:iCs w:val="0"/>
                <w:color w:val="auto"/>
                <w:sz w:val="24"/>
                <w:szCs w:val="24"/>
                <w:u w:val="none"/>
              </w:rPr>
            </w:pPr>
          </w:p>
        </w:tc>
      </w:tr>
      <w:tr w14:paraId="610C2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2" w:hRule="atLeast"/>
        </w:trPr>
        <w:tc>
          <w:tcPr>
            <w:tcW w:w="712" w:type="dxa"/>
            <w:shd w:val="clear" w:color="auto" w:fill="auto"/>
            <w:vAlign w:val="center"/>
          </w:tcPr>
          <w:p w14:paraId="4B76105B">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cs="宋体"/>
                <w:b w:val="0"/>
                <w:bCs w:val="0"/>
                <w:i w:val="0"/>
                <w:iCs w:val="0"/>
                <w:color w:val="auto"/>
                <w:kern w:val="0"/>
                <w:sz w:val="24"/>
                <w:szCs w:val="24"/>
                <w:u w:val="none"/>
                <w:lang w:val="en-US" w:eastAsia="zh-CN" w:bidi="ar"/>
              </w:rPr>
              <w:t>10</w:t>
            </w:r>
          </w:p>
        </w:tc>
        <w:tc>
          <w:tcPr>
            <w:tcW w:w="1050" w:type="dxa"/>
            <w:shd w:val="clear" w:color="auto" w:fill="auto"/>
            <w:vAlign w:val="center"/>
          </w:tcPr>
          <w:p w14:paraId="4F7C98E7">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其他</w:t>
            </w:r>
          </w:p>
          <w:p w14:paraId="08085899">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要求</w:t>
            </w:r>
          </w:p>
        </w:tc>
        <w:tc>
          <w:tcPr>
            <w:tcW w:w="6015" w:type="dxa"/>
            <w:shd w:val="clear" w:color="auto" w:fill="auto"/>
            <w:vAlign w:val="center"/>
          </w:tcPr>
          <w:p w14:paraId="379CC62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不得将其承包的全部工程转包给第三人，或将其承包的全部工程支解后以分包的名义转包给第三人。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2.工程总承包单位提供与其它合同标段工程施工配合与协调，包括（但不限于）：①工作面的安全；②施工进度的协调；③及时提供或移交工作面，并为在本施工区内施工作业的其他</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提供方便和配合；④保持建筑物相邻界面附近的结构质量；⑤为其它</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提供交通道路、交叉工作面的作业场地；⑥保持</w:t>
            </w:r>
            <w:r>
              <w:rPr>
                <w:rFonts w:hint="eastAsia"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提供的公用设施包括道路等在承建标段内的维护与保养，不得造成损坏而影响正常施工；⑦</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之间产生矛盾时，应服从</w:t>
            </w:r>
            <w:r>
              <w:rPr>
                <w:rFonts w:hint="eastAsia"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的协调决定；⑧</w:t>
            </w:r>
            <w:r>
              <w:rPr>
                <w:rFonts w:hint="eastAsia" w:cs="宋体"/>
                <w:i w:val="0"/>
                <w:iCs w:val="0"/>
                <w:color w:val="auto"/>
                <w:kern w:val="0"/>
                <w:sz w:val="24"/>
                <w:szCs w:val="24"/>
                <w:u w:val="none"/>
                <w:lang w:val="en-US" w:eastAsia="zh-CN" w:bidi="ar"/>
              </w:rPr>
              <w:t>供应商</w:t>
            </w:r>
            <w:r>
              <w:rPr>
                <w:rFonts w:hint="eastAsia" w:ascii="宋体" w:hAnsi="宋体" w:eastAsia="宋体" w:cs="宋体"/>
                <w:i w:val="0"/>
                <w:iCs w:val="0"/>
                <w:color w:val="auto"/>
                <w:kern w:val="0"/>
                <w:sz w:val="24"/>
                <w:szCs w:val="24"/>
                <w:u w:val="none"/>
                <w:lang w:val="en-US" w:eastAsia="zh-CN" w:bidi="ar"/>
              </w:rPr>
              <w:t>应充分考虑配合与协调工作对施工进度的影响，</w:t>
            </w:r>
            <w:r>
              <w:rPr>
                <w:rFonts w:hint="eastAsia" w:cs="宋体"/>
                <w:i w:val="0"/>
                <w:iCs w:val="0"/>
                <w:color w:val="auto"/>
                <w:kern w:val="0"/>
                <w:sz w:val="24"/>
                <w:szCs w:val="24"/>
                <w:u w:val="none"/>
                <w:lang w:val="en-US" w:eastAsia="zh-CN" w:bidi="ar"/>
              </w:rPr>
              <w:t>采购人</w:t>
            </w:r>
            <w:r>
              <w:rPr>
                <w:rFonts w:hint="eastAsia" w:ascii="宋体" w:hAnsi="宋体" w:eastAsia="宋体" w:cs="宋体"/>
                <w:i w:val="0"/>
                <w:iCs w:val="0"/>
                <w:color w:val="auto"/>
                <w:kern w:val="0"/>
                <w:sz w:val="24"/>
                <w:szCs w:val="24"/>
                <w:u w:val="none"/>
                <w:lang w:val="en-US" w:eastAsia="zh-CN" w:bidi="ar"/>
              </w:rPr>
              <w:t>不另行支付这种配合和保护所发生的费用。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3.供应商提供的各项材料须为符合国家质检标准的合格产品；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4.供应商应当严格按照财办库〔2023〕52号文件及十财采发〔2025〕97号文件要求进行施工，并采购或使用符合要求的绿色建材。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5.供应商需做好施工期间的安全生产保障措施并为施工人员购买工伤意外保险；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6.施工不得对校内已有设施造成损坏；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7.建筑垃圾需清理干净。</w:t>
            </w:r>
          </w:p>
        </w:tc>
        <w:tc>
          <w:tcPr>
            <w:tcW w:w="721" w:type="dxa"/>
            <w:shd w:val="clear" w:color="auto" w:fill="auto"/>
            <w:vAlign w:val="center"/>
          </w:tcPr>
          <w:p w14:paraId="2A58CCF2">
            <w:pPr>
              <w:jc w:val="center"/>
              <w:rPr>
                <w:rFonts w:hint="eastAsia" w:ascii="宋体" w:hAnsi="宋体" w:eastAsia="宋体" w:cs="宋体"/>
                <w:b/>
                <w:bCs/>
                <w:i w:val="0"/>
                <w:iCs w:val="0"/>
                <w:color w:val="auto"/>
                <w:sz w:val="24"/>
                <w:szCs w:val="24"/>
                <w:u w:val="none"/>
              </w:rPr>
            </w:pPr>
          </w:p>
        </w:tc>
      </w:tr>
      <w:tr w14:paraId="3177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98" w:type="dxa"/>
            <w:gridSpan w:val="4"/>
            <w:shd w:val="clear" w:color="auto" w:fill="auto"/>
            <w:vAlign w:val="center"/>
          </w:tcPr>
          <w:p w14:paraId="59ECB091">
            <w:pPr>
              <w:jc w:val="both"/>
              <w:rPr>
                <w:rFonts w:hint="eastAsia" w:ascii="宋体" w:hAnsi="宋体" w:eastAsia="宋体" w:cs="宋体"/>
                <w:b/>
                <w:bCs/>
                <w:i w:val="0"/>
                <w:iCs w:val="0"/>
                <w:color w:val="auto"/>
                <w:sz w:val="24"/>
                <w:szCs w:val="24"/>
                <w:u w:val="none"/>
              </w:rPr>
            </w:pPr>
            <w:r>
              <w:rPr>
                <w:rFonts w:hint="eastAsia" w:ascii="宋体" w:hAnsi="宋体" w:eastAsia="宋体" w:cs="宋体"/>
                <w:b/>
                <w:color w:val="auto"/>
                <w:sz w:val="24"/>
                <w:szCs w:val="24"/>
                <w:lang w:val="en-US" w:eastAsia="zh-CN"/>
              </w:rPr>
              <w:t>汇总：</w:t>
            </w:r>
            <w:r>
              <w:rPr>
                <w:rFonts w:hint="eastAsia" w:ascii="宋体" w:hAnsi="宋体" w:eastAsia="宋体" w:cs="宋体"/>
                <w:b/>
                <w:color w:val="auto"/>
                <w:sz w:val="24"/>
                <w:szCs w:val="24"/>
              </w:rPr>
              <w:t>商务条款带“▲”号实质性响应条款共计</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项</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号评审因素条款共计4项。</w:t>
            </w:r>
          </w:p>
        </w:tc>
      </w:tr>
    </w:tbl>
    <w:p w14:paraId="1F5BA63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E2491"/>
    <w:multiLevelType w:val="singleLevel"/>
    <w:tmpl w:val="D7FE249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D3FF6"/>
    <w:rsid w:val="428D3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cstheme="majorBidi"/>
      <w:b/>
      <w:bCs/>
      <w:sz w:val="32"/>
      <w:szCs w:val="32"/>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无间隔1"/>
    <w:qFormat/>
    <w:uiPriority w:val="1"/>
    <w:pPr>
      <w:widowControl w:val="0"/>
    </w:pPr>
    <w:rPr>
      <w:rFonts w:ascii="宋体" w:hAnsi="宋体" w:eastAsia="宋体" w:cs="黑体"/>
      <w:kern w:val="2"/>
      <w:sz w:val="21"/>
      <w:szCs w:val="22"/>
      <w:lang w:val="en-US" w:eastAsia="zh-CN" w:bidi="ar-SA"/>
    </w:rPr>
  </w:style>
  <w:style w:type="character" w:customStyle="1" w:styleId="8">
    <w:name w:val="font11"/>
    <w:basedOn w:val="6"/>
    <w:qFormat/>
    <w:uiPriority w:val="0"/>
    <w:rPr>
      <w:rFonts w:hint="eastAsia" w:ascii="仿宋" w:hAnsi="仿宋" w:eastAsia="仿宋" w:cs="仿宋"/>
      <w:b/>
      <w:bCs/>
      <w:color w:val="000000"/>
      <w:sz w:val="18"/>
      <w:szCs w:val="18"/>
      <w:u w:val="none"/>
    </w:rPr>
  </w:style>
  <w:style w:type="character" w:customStyle="1" w:styleId="9">
    <w:name w:val="font41"/>
    <w:basedOn w:val="6"/>
    <w:qFormat/>
    <w:uiPriority w:val="0"/>
    <w:rPr>
      <w:rFonts w:hint="eastAsia" w:ascii="仿宋" w:hAnsi="仿宋" w:eastAsia="仿宋" w:cs="仿宋"/>
      <w:b/>
      <w:bCs/>
      <w:color w:val="FF0000"/>
      <w:sz w:val="18"/>
      <w:szCs w:val="18"/>
      <w:u w:val="none"/>
    </w:rPr>
  </w:style>
  <w:style w:type="character" w:customStyle="1" w:styleId="10">
    <w:name w:val="font21"/>
    <w:basedOn w:val="6"/>
    <w:qFormat/>
    <w:uiPriority w:val="0"/>
    <w:rPr>
      <w:rFonts w:hint="eastAsia" w:ascii="仿宋" w:hAnsi="仿宋" w:eastAsia="仿宋" w:cs="仿宋"/>
      <w:color w:val="000000"/>
      <w:sz w:val="18"/>
      <w:szCs w:val="18"/>
      <w:u w:val="none"/>
    </w:rPr>
  </w:style>
  <w:style w:type="character" w:customStyle="1" w:styleId="11">
    <w:name w:val="font31"/>
    <w:basedOn w:val="6"/>
    <w:qFormat/>
    <w:uiPriority w:val="0"/>
    <w:rPr>
      <w:rFonts w:hint="eastAsia" w:ascii="仿宋" w:hAnsi="仿宋" w:eastAsia="仿宋" w:cs="仿宋"/>
      <w:color w:val="FF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Office_12.1.0.22483_F1E327BC-269C-435d-A152-05C5408002CA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2025-08-07T07:57:00Z</dcterms:created>
  <dc:creator> </dc:creator>
  <cp:lastModifiedBy> </cp:lastModifiedBy>
  <dcterms:modified xsi:type="dcterms:W3CDTF">2025-08-07T07:57:08Z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2052-12.1.0.22483</vt:lpwstr>
  </property>
  <property fmtid="{D5CDD505-2E9C-101B-9397-08002B2CF9AE}" pid="3" name="ICV">
    <vt:lpwstr>8F6FF54445504FD4A9C464F4A43BB8EE_11</vt:lpwstr>
  </property>
  <property fmtid="{D5CDD505-2E9C-101B-9397-08002B2CF9AE}" pid="4" name="KSOTemplateDocerSaveRecord">
    <vt:lpwstr>eyJoZGlkIjoiMmZjNzExMWY5NzhlN2NmN2FhYWQ2MGNiOWZkNTg0ZjIiLCJ1c2VySWQiOiIzMzMwNDI2NjUifQ==</vt:lpwstr>
  </property>
</Properties>
</file>